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spacing w:before="175" w:line="336" w:lineRule="auto"/>
        <w:ind w:left="1297" w:right="1296" w:firstLine="0"/>
        <w:jc w:val="center"/>
        <w:rPr>
          <w:rFonts w:hint="default" w:eastAsia="宋体"/>
          <w:b/>
          <w:sz w:val="52"/>
          <w:lang w:val="en-US" w:eastAsia="zh-CN"/>
        </w:rPr>
      </w:pPr>
      <w:r>
        <w:rPr>
          <w:rFonts w:hint="eastAsia"/>
          <w:b/>
          <w:w w:val="95"/>
          <w:sz w:val="52"/>
          <w:lang w:val="en-US" w:eastAsia="zh-CN"/>
        </w:rPr>
        <w:t>年印刷标签300万平方米项目</w:t>
      </w:r>
    </w:p>
    <w:p>
      <w:pPr>
        <w:spacing w:before="6"/>
        <w:ind w:left="1296" w:right="1296" w:firstLine="0"/>
        <w:jc w:val="center"/>
        <w:rPr>
          <w:b/>
          <w:sz w:val="52"/>
        </w:rPr>
      </w:pPr>
      <w:r>
        <w:rPr>
          <w:b/>
          <w:sz w:val="52"/>
        </w:rPr>
        <w:t>验收监测报告</w:t>
      </w: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spacing w:before="10"/>
        <w:rPr>
          <w:b/>
          <w:sz w:val="57"/>
        </w:rPr>
      </w:pPr>
    </w:p>
    <w:p>
      <w:pPr>
        <w:pStyle w:val="2"/>
        <w:spacing w:before="0"/>
        <w:ind w:left="1918"/>
      </w:pPr>
      <w:r>
        <w:t>建设单位：</w:t>
      </w:r>
      <w:r>
        <w:rPr>
          <w:rFonts w:hint="default" w:ascii="宋体" w:hAnsi="宋体" w:eastAsia="宋体" w:cs="宋体"/>
          <w:b/>
          <w:bCs w:val="0"/>
          <w:sz w:val="28"/>
          <w:szCs w:val="22"/>
          <w:lang w:val="en-US" w:eastAsia="zh-CN" w:bidi="zh-CN"/>
        </w:rPr>
        <w:t>贵阳天星智能包装有限公司</w:t>
      </w:r>
    </w:p>
    <w:p>
      <w:pPr>
        <w:pStyle w:val="5"/>
        <w:rPr>
          <w:b/>
          <w:sz w:val="28"/>
        </w:rPr>
      </w:pPr>
    </w:p>
    <w:p>
      <w:pPr>
        <w:pStyle w:val="5"/>
        <w:rPr>
          <w:b/>
          <w:sz w:val="29"/>
        </w:rPr>
      </w:pPr>
    </w:p>
    <w:p>
      <w:pPr>
        <w:spacing w:before="0"/>
        <w:ind w:left="1918" w:right="0" w:firstLine="0"/>
        <w:jc w:val="left"/>
        <w:rPr>
          <w:b/>
          <w:sz w:val="28"/>
        </w:rPr>
      </w:pPr>
      <w:r>
        <w:rPr>
          <w:b/>
          <w:sz w:val="28"/>
        </w:rPr>
        <w:t>编制单位：</w:t>
      </w:r>
      <w:r>
        <w:rPr>
          <w:rFonts w:hint="eastAsia"/>
          <w:b/>
          <w:sz w:val="28"/>
          <w:lang w:val="en-US" w:eastAsia="zh-CN"/>
        </w:rPr>
        <w:t>贵州黔之意检测技术</w:t>
      </w:r>
      <w:r>
        <w:rPr>
          <w:b/>
          <w:sz w:val="28"/>
        </w:rPr>
        <w:t>有限公司</w:t>
      </w:r>
    </w:p>
    <w:p>
      <w:pPr>
        <w:pStyle w:val="5"/>
        <w:rPr>
          <w:b/>
          <w:sz w:val="28"/>
        </w:rPr>
      </w:pPr>
    </w:p>
    <w:p>
      <w:pPr>
        <w:pStyle w:val="5"/>
        <w:rPr>
          <w:b/>
          <w:sz w:val="28"/>
        </w:rPr>
      </w:pPr>
    </w:p>
    <w:p>
      <w:pPr>
        <w:pStyle w:val="5"/>
        <w:spacing w:before="4"/>
        <w:rPr>
          <w:b/>
          <w:sz w:val="23"/>
        </w:rPr>
      </w:pPr>
    </w:p>
    <w:p>
      <w:pPr>
        <w:spacing w:before="1"/>
        <w:ind w:left="770" w:right="1296" w:firstLine="0"/>
        <w:jc w:val="center"/>
        <w:rPr>
          <w:b/>
          <w:sz w:val="28"/>
        </w:rPr>
      </w:pPr>
      <w:r>
        <w:rPr>
          <w:b/>
          <w:sz w:val="28"/>
        </w:rPr>
        <w:t>2021 年 12 月</w:t>
      </w:r>
    </w:p>
    <w:p>
      <w:pPr>
        <w:spacing w:after="0"/>
        <w:jc w:val="center"/>
        <w:rPr>
          <w:sz w:val="28"/>
        </w:rPr>
        <w:sectPr>
          <w:type w:val="continuous"/>
          <w:pgSz w:w="11910" w:h="16840"/>
          <w:pgMar w:top="1600" w:right="1000" w:bottom="280" w:left="1000" w:header="720" w:footer="720" w:gutter="0"/>
          <w:pgBorders>
            <w:top w:val="none" w:sz="0" w:space="0"/>
            <w:left w:val="none" w:sz="0" w:space="0"/>
            <w:bottom w:val="none" w:sz="0" w:space="0"/>
            <w:right w:val="none" w:sz="0" w:space="0"/>
          </w:pgBorders>
          <w:cols w:space="720" w:num="1"/>
        </w:sectPr>
      </w:pPr>
    </w:p>
    <w:p>
      <w:pPr>
        <w:pStyle w:val="5"/>
        <w:spacing w:before="4"/>
        <w:rPr>
          <w:rFonts w:ascii="Times New Roman"/>
          <w:sz w:val="17"/>
        </w:rPr>
      </w:pPr>
    </w:p>
    <w:p>
      <w:pPr>
        <w:spacing w:before="31"/>
        <w:ind w:left="798" w:right="0" w:firstLine="0"/>
        <w:jc w:val="left"/>
        <w:rPr>
          <w:b/>
          <w:sz w:val="28"/>
        </w:rPr>
      </w:pPr>
      <w:r>
        <w:rPr>
          <w:b/>
          <w:spacing w:val="-2"/>
          <w:sz w:val="28"/>
        </w:rPr>
        <w:t>建设单位法人代表: 张锡康</w:t>
      </w:r>
    </w:p>
    <w:p>
      <w:pPr>
        <w:pStyle w:val="5"/>
        <w:spacing w:before="9"/>
        <w:rPr>
          <w:b/>
          <w:sz w:val="35"/>
        </w:rPr>
      </w:pPr>
    </w:p>
    <w:p>
      <w:pPr>
        <w:tabs>
          <w:tab w:val="left" w:pos="1360"/>
          <w:tab w:val="left" w:pos="1696"/>
          <w:tab w:val="left" w:pos="1923"/>
          <w:tab w:val="left" w:pos="2592"/>
          <w:tab w:val="left" w:pos="3096"/>
        </w:tabs>
        <w:spacing w:before="0" w:line="436" w:lineRule="auto"/>
        <w:ind w:left="798" w:right="5734" w:firstLine="0"/>
        <w:jc w:val="left"/>
        <w:rPr>
          <w:rFonts w:hint="eastAsia" w:eastAsia="宋体"/>
          <w:b/>
          <w:sz w:val="28"/>
          <w:lang w:eastAsia="zh-CN"/>
        </w:rPr>
      </w:pPr>
      <w:r>
        <w:rPr>
          <w:b/>
          <w:sz w:val="28"/>
        </w:rPr>
        <w:t>编制单位法人代表:</w:t>
      </w:r>
      <w:r>
        <w:rPr>
          <w:b/>
          <w:spacing w:val="4"/>
          <w:sz w:val="28"/>
        </w:rPr>
        <w:t xml:space="preserve"> </w:t>
      </w:r>
      <w:r>
        <w:rPr>
          <w:rFonts w:hint="eastAsia"/>
          <w:b/>
          <w:sz w:val="28"/>
          <w:lang w:val="en-US" w:eastAsia="zh-CN"/>
        </w:rPr>
        <w:t>张银辉项</w:t>
      </w:r>
      <w:r>
        <w:rPr>
          <w:b/>
          <w:sz w:val="28"/>
        </w:rPr>
        <w:tab/>
      </w:r>
      <w:r>
        <w:rPr>
          <w:b/>
          <w:sz w:val="28"/>
        </w:rPr>
        <w:t>目</w:t>
      </w:r>
      <w:r>
        <w:rPr>
          <w:b/>
          <w:sz w:val="28"/>
        </w:rPr>
        <w:tab/>
      </w:r>
      <w:r>
        <w:rPr>
          <w:b/>
          <w:sz w:val="28"/>
        </w:rPr>
        <w:tab/>
      </w:r>
      <w:r>
        <w:rPr>
          <w:b/>
          <w:sz w:val="28"/>
        </w:rPr>
        <w:t>负</w:t>
      </w:r>
      <w:r>
        <w:rPr>
          <w:b/>
          <w:spacing w:val="-11"/>
          <w:sz w:val="28"/>
        </w:rPr>
        <w:t xml:space="preserve"> </w:t>
      </w:r>
      <w:r>
        <w:rPr>
          <w:b/>
          <w:sz w:val="28"/>
        </w:rPr>
        <w:t>责</w:t>
      </w:r>
      <w:r>
        <w:rPr>
          <w:b/>
          <w:spacing w:val="-10"/>
          <w:sz w:val="28"/>
        </w:rPr>
        <w:t xml:space="preserve"> </w:t>
      </w:r>
      <w:r>
        <w:rPr>
          <w:b/>
          <w:sz w:val="28"/>
        </w:rPr>
        <w:t>人:</w:t>
      </w:r>
      <w:r>
        <w:rPr>
          <w:b/>
          <w:spacing w:val="-10"/>
          <w:sz w:val="28"/>
        </w:rPr>
        <w:t xml:space="preserve"> </w:t>
      </w:r>
      <w:r>
        <w:rPr>
          <w:rFonts w:hint="eastAsia"/>
          <w:b/>
          <w:sz w:val="28"/>
          <w:lang w:val="en-US" w:eastAsia="zh-CN"/>
        </w:rPr>
        <w:t>王  杰</w:t>
      </w:r>
      <w:r>
        <w:rPr>
          <w:b/>
          <w:sz w:val="28"/>
        </w:rPr>
        <w:t>填</w:t>
      </w:r>
      <w:r>
        <w:rPr>
          <w:b/>
          <w:sz w:val="28"/>
        </w:rPr>
        <w:tab/>
      </w:r>
      <w:r>
        <w:rPr>
          <w:b/>
          <w:sz w:val="28"/>
        </w:rPr>
        <w:tab/>
      </w:r>
      <w:r>
        <w:rPr>
          <w:rFonts w:hint="eastAsia"/>
          <w:b/>
          <w:sz w:val="28"/>
          <w:lang w:val="en-US" w:eastAsia="zh-CN"/>
        </w:rPr>
        <w:t xml:space="preserve"> </w:t>
      </w:r>
      <w:r>
        <w:rPr>
          <w:b/>
          <w:w w:val="75"/>
          <w:sz w:val="28"/>
        </w:rPr>
        <w:t>表</w:t>
      </w:r>
      <w:r>
        <w:rPr>
          <w:b/>
          <w:w w:val="75"/>
          <w:sz w:val="28"/>
        </w:rPr>
        <w:tab/>
      </w:r>
      <w:r>
        <w:rPr>
          <w:rFonts w:hint="eastAsia"/>
          <w:b/>
          <w:w w:val="75"/>
          <w:sz w:val="28"/>
          <w:lang w:val="en-US" w:eastAsia="zh-CN"/>
        </w:rPr>
        <w:t xml:space="preserve">  </w:t>
      </w:r>
      <w:r>
        <w:rPr>
          <w:b/>
          <w:sz w:val="28"/>
        </w:rPr>
        <w:t>人</w:t>
      </w:r>
      <w:r>
        <w:rPr>
          <w:b/>
          <w:sz w:val="28"/>
        </w:rPr>
        <w:tab/>
      </w:r>
      <w:r>
        <w:rPr>
          <w:b/>
          <w:spacing w:val="4"/>
          <w:w w:val="90"/>
          <w:sz w:val="28"/>
        </w:rPr>
        <w:t>：</w:t>
      </w:r>
      <w:r>
        <w:rPr>
          <w:rFonts w:hint="eastAsia"/>
          <w:b/>
          <w:w w:val="90"/>
          <w:sz w:val="28"/>
          <w:lang w:val="en-US" w:eastAsia="zh-CN"/>
        </w:rPr>
        <w:t>王  杰</w:t>
      </w: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spacing w:before="10"/>
        <w:rPr>
          <w:b/>
        </w:rPr>
      </w:pPr>
    </w:p>
    <w:p>
      <w:pPr>
        <w:pStyle w:val="3"/>
        <w:tabs>
          <w:tab w:val="left" w:pos="5059"/>
        </w:tabs>
        <w:spacing w:line="504" w:lineRule="auto"/>
        <w:ind w:left="118" w:right="749"/>
        <w:rPr>
          <w:rFonts w:ascii="Times New Roman"/>
          <w:b/>
          <w:sz w:val="29"/>
        </w:rPr>
      </w:pPr>
      <w:r>
        <w:t>建设单位</w:t>
      </w:r>
      <w:r>
        <w:rPr>
          <w:spacing w:val="3"/>
        </w:rPr>
        <w:t>：</w:t>
      </w:r>
      <w:r>
        <w:rPr>
          <w:rFonts w:hint="eastAsia"/>
          <w:lang w:val="en-US" w:eastAsia="zh-CN"/>
        </w:rPr>
        <w:t xml:space="preserve">贵州天星智能包装有限公司      </w:t>
      </w:r>
      <w:r>
        <w:rPr>
          <w:w w:val="95"/>
        </w:rPr>
        <w:t>编制单位：</w:t>
      </w:r>
      <w:r>
        <w:rPr>
          <w:rFonts w:hint="eastAsia"/>
          <w:w w:val="95"/>
          <w:lang w:val="en-US" w:eastAsia="zh-CN"/>
        </w:rPr>
        <w:t>贵州黔之意检测技术有限公司</w:t>
      </w:r>
      <w:r>
        <w:t>电话：</w:t>
      </w:r>
      <w:r>
        <w:rPr>
          <w:rFonts w:ascii="Times New Roman"/>
          <w:sz w:val="24"/>
        </w:rPr>
        <w:t>13885023433</w:t>
      </w:r>
      <w:r>
        <w:rPr>
          <w:rFonts w:hint="eastAsia" w:ascii="Times New Roman"/>
          <w:lang w:val="en-US" w:eastAsia="zh-CN"/>
        </w:rPr>
        <w:t xml:space="preserve">                                              </w:t>
      </w:r>
      <w:r>
        <w:t>电话：</w:t>
      </w:r>
      <w:r>
        <w:rPr>
          <w:rFonts w:hint="eastAsia" w:ascii="Times New Roman"/>
          <w:lang w:val="en-US" w:eastAsia="zh-CN"/>
        </w:rPr>
        <w:t>085183837953</w:t>
      </w:r>
      <w:r>
        <w:rPr>
          <w:rFonts w:hint="eastAsia" w:ascii="Times New Roman"/>
          <w:b/>
          <w:sz w:val="24"/>
          <w:lang w:val="en-US" w:eastAsia="zh-CN"/>
        </w:rPr>
        <w:t xml:space="preserve">                                     </w:t>
      </w:r>
    </w:p>
    <w:p>
      <w:pPr>
        <w:tabs>
          <w:tab w:val="left" w:pos="5059"/>
        </w:tabs>
        <w:spacing w:before="0"/>
        <w:ind w:left="118" w:right="0" w:firstLine="0"/>
        <w:jc w:val="left"/>
        <w:rPr>
          <w:rFonts w:hint="default" w:ascii="Times New Roman" w:eastAsia="宋体"/>
          <w:b/>
          <w:sz w:val="24"/>
          <w:lang w:val="en-US" w:eastAsia="zh-CN"/>
        </w:rPr>
      </w:pPr>
      <w:r>
        <w:rPr>
          <w:b/>
          <w:sz w:val="24"/>
        </w:rPr>
        <w:t>邮编：</w:t>
      </w:r>
      <w:r>
        <w:rPr>
          <w:rFonts w:hint="eastAsia" w:ascii="Times New Roman"/>
          <w:b/>
          <w:sz w:val="24"/>
          <w:lang w:val="en-US" w:eastAsia="zh-CN"/>
        </w:rPr>
        <w:t xml:space="preserve">550000                                                         </w:t>
      </w:r>
      <w:r>
        <w:rPr>
          <w:b/>
          <w:sz w:val="24"/>
        </w:rPr>
        <w:t>邮编：</w:t>
      </w:r>
      <w:r>
        <w:rPr>
          <w:rFonts w:hint="eastAsia" w:ascii="Times New Roman"/>
          <w:b/>
          <w:sz w:val="24"/>
          <w:lang w:val="en-US" w:eastAsia="zh-CN"/>
        </w:rPr>
        <w:t>550009</w:t>
      </w:r>
    </w:p>
    <w:p>
      <w:pPr>
        <w:pStyle w:val="5"/>
        <w:rPr>
          <w:rFonts w:ascii="Times New Roman"/>
          <w:b/>
          <w:sz w:val="20"/>
        </w:rPr>
      </w:pPr>
    </w:p>
    <w:p>
      <w:pPr>
        <w:spacing w:after="0"/>
        <w:rPr>
          <w:rFonts w:ascii="Times New Roman"/>
          <w:sz w:val="18"/>
        </w:rPr>
        <w:sectPr>
          <w:pgSz w:w="11910" w:h="16840"/>
          <w:pgMar w:top="1540" w:right="1000" w:bottom="280" w:left="1000" w:header="720" w:footer="720" w:gutter="0"/>
          <w:pgBorders>
            <w:top w:val="none" w:sz="0" w:space="0"/>
            <w:left w:val="none" w:sz="0" w:space="0"/>
            <w:bottom w:val="none" w:sz="0" w:space="0"/>
            <w:right w:val="none" w:sz="0" w:space="0"/>
          </w:pgBorders>
          <w:cols w:space="720" w:num="1"/>
        </w:sectPr>
      </w:pPr>
    </w:p>
    <w:p>
      <w:pPr>
        <w:pStyle w:val="15"/>
        <w:spacing w:before="81"/>
        <w:ind w:left="93" w:right="82"/>
        <w:jc w:val="left"/>
        <w:rPr>
          <w:b/>
          <w:sz w:val="24"/>
        </w:rPr>
      </w:pPr>
      <w:r>
        <w:rPr>
          <w:b/>
          <w:spacing w:val="-11"/>
          <w:w w:val="95"/>
          <w:sz w:val="24"/>
        </w:rPr>
        <w:t>地址：</w:t>
      </w:r>
      <w:r>
        <w:rPr>
          <w:b/>
          <w:bCs/>
          <w:spacing w:val="-4"/>
          <w:sz w:val="24"/>
        </w:rPr>
        <w:t xml:space="preserve">贵州双龙航空港经济区贵州宝信捷投资有限公司 </w:t>
      </w:r>
      <w:r>
        <w:rPr>
          <w:rFonts w:ascii="Times New Roman" w:eastAsia="Times New Roman"/>
          <w:b/>
          <w:bCs/>
          <w:sz w:val="24"/>
        </w:rPr>
        <w:t xml:space="preserve">4 </w:t>
      </w:r>
      <w:r>
        <w:rPr>
          <w:b/>
          <w:bCs/>
          <w:spacing w:val="-17"/>
          <w:sz w:val="24"/>
        </w:rPr>
        <w:t xml:space="preserve">号车间 </w:t>
      </w:r>
      <w:r>
        <w:rPr>
          <w:rFonts w:ascii="Times New Roman" w:eastAsia="Times New Roman"/>
          <w:b/>
          <w:bCs/>
          <w:sz w:val="24"/>
        </w:rPr>
        <w:t xml:space="preserve">3 </w:t>
      </w:r>
      <w:r>
        <w:rPr>
          <w:b/>
          <w:bCs/>
          <w:spacing w:val="-33"/>
          <w:sz w:val="24"/>
        </w:rPr>
        <w:t xml:space="preserve">层 </w:t>
      </w:r>
      <w:r>
        <w:rPr>
          <w:rFonts w:ascii="Times New Roman" w:eastAsia="Times New Roman"/>
          <w:b/>
          <w:bCs/>
          <w:sz w:val="24"/>
        </w:rPr>
        <w:t>1</w:t>
      </w:r>
      <w:r>
        <w:rPr>
          <w:b/>
          <w:bCs/>
          <w:sz w:val="24"/>
        </w:rPr>
        <w:t>号</w:t>
      </w:r>
    </w:p>
    <w:p>
      <w:pPr>
        <w:spacing w:before="67" w:line="242" w:lineRule="auto"/>
        <w:ind w:left="118" w:right="120" w:firstLine="0"/>
        <w:jc w:val="left"/>
        <w:rPr>
          <w:sz w:val="24"/>
        </w:rPr>
        <w:sectPr>
          <w:type w:val="continuous"/>
          <w:pgSz w:w="11910" w:h="16840"/>
          <w:pgMar w:top="1600" w:right="1000" w:bottom="280" w:left="1000" w:header="720" w:footer="720" w:gutter="0"/>
          <w:pgBorders>
            <w:top w:val="none" w:sz="0" w:space="0"/>
            <w:left w:val="none" w:sz="0" w:space="0"/>
            <w:bottom w:val="none" w:sz="0" w:space="0"/>
            <w:right w:val="none" w:sz="0" w:space="0"/>
          </w:pgBorders>
          <w:cols w:equalWidth="0" w:num="2">
            <w:col w:w="4883" w:space="59"/>
            <w:col w:w="4968"/>
          </w:cols>
        </w:sectPr>
      </w:pPr>
      <w:r>
        <w:br w:type="column"/>
      </w:r>
      <w:r>
        <w:rPr>
          <w:b/>
          <w:spacing w:val="-11"/>
          <w:w w:val="95"/>
          <w:sz w:val="24"/>
        </w:rPr>
        <w:t>地址：</w:t>
      </w:r>
      <w:r>
        <w:rPr>
          <w:rFonts w:hint="eastAsia" w:ascii="宋体" w:hAnsi="宋体"/>
          <w:b/>
          <w:bCs/>
          <w:color w:val="auto"/>
          <w:spacing w:val="20"/>
          <w:sz w:val="24"/>
          <w:szCs w:val="24"/>
        </w:rPr>
        <w:t>贵州省贵阳市经济技术开发区翁岩村开发大道126号小孟工业园标准厂房3期3栋5楼（恒业丰电子科技公司厂房）</w:t>
      </w:r>
    </w:p>
    <w:p>
      <w:pPr>
        <w:pStyle w:val="5"/>
        <w:spacing w:before="4"/>
        <w:rPr>
          <w:rFonts w:ascii="Times New Roman"/>
          <w:sz w:val="17"/>
        </w:rPr>
      </w:pPr>
    </w:p>
    <w:p>
      <w:pPr>
        <w:spacing w:before="60"/>
        <w:ind w:left="1296" w:right="1296" w:firstLine="0"/>
        <w:jc w:val="center"/>
        <w:rPr>
          <w:sz w:val="21"/>
        </w:rPr>
      </w:pPr>
      <w:r>
        <w:rPr>
          <w:sz w:val="21"/>
        </w:rPr>
        <w:t>目录</w:t>
      </w:r>
    </w:p>
    <w:sdt>
      <w:sdtPr>
        <w:id w:val="2"/>
        <w:docPartObj>
          <w:docPartGallery w:val="Table of Contents"/>
          <w:docPartUnique/>
        </w:docPartObj>
      </w:sdtPr>
      <w:sdtContent>
        <w:p>
          <w:pPr>
            <w:pStyle w:val="8"/>
            <w:tabs>
              <w:tab w:val="left" w:pos="479"/>
              <w:tab w:val="right" w:leader="dot" w:pos="8304"/>
            </w:tabs>
            <w:rPr>
              <w:rFonts w:ascii="Times New Roman" w:eastAsia="Times New Roman"/>
            </w:rPr>
          </w:pPr>
          <w:r>
            <w:fldChar w:fldCharType="begin"/>
          </w:r>
          <w:r>
            <w:instrText xml:space="preserve"> HYPERLINK \l "_TOC_250008" </w:instrText>
          </w:r>
          <w:r>
            <w:fldChar w:fldCharType="separate"/>
          </w:r>
          <w:r>
            <w:t>前</w:t>
          </w:r>
          <w:r>
            <w:tab/>
          </w:r>
          <w:r>
            <w:t>言</w:t>
          </w:r>
          <w:r>
            <w:tab/>
          </w:r>
          <w:r>
            <w:rPr>
              <w:rFonts w:ascii="Times New Roman" w:eastAsia="Times New Roman"/>
            </w:rPr>
            <w:t>I</w:t>
          </w:r>
          <w:r>
            <w:rPr>
              <w:rFonts w:ascii="Times New Roman" w:eastAsia="Times New Roman"/>
            </w:rPr>
            <w:fldChar w:fldCharType="end"/>
          </w:r>
        </w:p>
        <w:p>
          <w:pPr>
            <w:pStyle w:val="9"/>
            <w:tabs>
              <w:tab w:val="left" w:pos="1458"/>
              <w:tab w:val="right" w:leader="dot" w:pos="9105"/>
            </w:tabs>
            <w:spacing w:before="281"/>
            <w:rPr>
              <w:rFonts w:ascii="Times New Roman" w:eastAsia="Times New Roman"/>
            </w:rPr>
          </w:pPr>
          <w:r>
            <w:fldChar w:fldCharType="begin"/>
          </w:r>
          <w:r>
            <w:instrText xml:space="preserve"> HYPERLINK \l "_TOC_250007" </w:instrText>
          </w:r>
          <w:r>
            <w:fldChar w:fldCharType="separate"/>
          </w:r>
          <w:r>
            <w:t>表</w:t>
          </w:r>
          <w:r>
            <w:rPr>
              <w:spacing w:val="-62"/>
            </w:rPr>
            <w:t xml:space="preserve"> </w:t>
          </w:r>
          <w:r>
            <w:rPr>
              <w:rFonts w:ascii="Times New Roman" w:eastAsia="Times New Roman"/>
            </w:rPr>
            <w:t>1</w:t>
          </w:r>
          <w:r>
            <w:rPr>
              <w:rFonts w:ascii="Times New Roman" w:eastAsia="Times New Roman"/>
            </w:rPr>
            <w:tab/>
          </w:r>
          <w:r>
            <w:t>基本情况表</w:t>
          </w:r>
          <w:r>
            <w:tab/>
          </w:r>
          <w:r>
            <w:rPr>
              <w:rFonts w:ascii="Times New Roman" w:eastAsia="Times New Roman"/>
            </w:rPr>
            <w:t>1</w:t>
          </w:r>
          <w:r>
            <w:rPr>
              <w:rFonts w:ascii="Times New Roman" w:eastAsia="Times New Roman"/>
            </w:rPr>
            <w:fldChar w:fldCharType="end"/>
          </w:r>
        </w:p>
        <w:p>
          <w:pPr>
            <w:pStyle w:val="9"/>
            <w:tabs>
              <w:tab w:val="left" w:pos="1458"/>
              <w:tab w:val="right" w:leader="dot" w:pos="9105"/>
            </w:tabs>
            <w:rPr>
              <w:rFonts w:ascii="Times New Roman" w:eastAsia="Times New Roman"/>
            </w:rPr>
          </w:pPr>
          <w:r>
            <w:fldChar w:fldCharType="begin"/>
          </w:r>
          <w:r>
            <w:instrText xml:space="preserve"> HYPERLINK \l "_TOC_250006" </w:instrText>
          </w:r>
          <w:r>
            <w:fldChar w:fldCharType="separate"/>
          </w:r>
          <w:r>
            <w:t>表</w:t>
          </w:r>
          <w:r>
            <w:rPr>
              <w:spacing w:val="-62"/>
            </w:rPr>
            <w:t xml:space="preserve"> </w:t>
          </w:r>
          <w:r>
            <w:rPr>
              <w:rFonts w:ascii="Times New Roman" w:eastAsia="Times New Roman"/>
            </w:rPr>
            <w:t>2</w:t>
          </w:r>
          <w:r>
            <w:rPr>
              <w:rFonts w:ascii="Times New Roman" w:eastAsia="Times New Roman"/>
            </w:rPr>
            <w:tab/>
          </w:r>
          <w:r>
            <w:t>建设项目情况</w:t>
          </w:r>
          <w:r>
            <w:tab/>
          </w:r>
          <w:r>
            <w:rPr>
              <w:rFonts w:ascii="Times New Roman" w:eastAsia="Times New Roman"/>
            </w:rPr>
            <w:t>1</w:t>
          </w:r>
          <w:r>
            <w:rPr>
              <w:rFonts w:ascii="Times New Roman" w:eastAsia="Times New Roman"/>
            </w:rPr>
            <w:fldChar w:fldCharType="end"/>
          </w:r>
        </w:p>
        <w:p>
          <w:pPr>
            <w:pStyle w:val="9"/>
            <w:tabs>
              <w:tab w:val="left" w:pos="1458"/>
              <w:tab w:val="right" w:leader="dot" w:pos="9105"/>
            </w:tabs>
            <w:spacing w:before="278"/>
            <w:rPr>
              <w:rFonts w:ascii="Times New Roman" w:eastAsia="Times New Roman"/>
            </w:rPr>
          </w:pPr>
          <w:r>
            <w:fldChar w:fldCharType="begin"/>
          </w:r>
          <w:r>
            <w:instrText xml:space="preserve"> HYPERLINK \l "_TOC_250005" </w:instrText>
          </w:r>
          <w:r>
            <w:fldChar w:fldCharType="separate"/>
          </w:r>
          <w:r>
            <w:t>表</w:t>
          </w:r>
          <w:r>
            <w:rPr>
              <w:spacing w:val="-62"/>
            </w:rPr>
            <w:t xml:space="preserve"> </w:t>
          </w:r>
          <w:r>
            <w:rPr>
              <w:rFonts w:ascii="Times New Roman" w:eastAsia="Times New Roman"/>
            </w:rPr>
            <w:t>3</w:t>
          </w:r>
          <w:r>
            <w:rPr>
              <w:rFonts w:ascii="Times New Roman" w:eastAsia="Times New Roman"/>
            </w:rPr>
            <w:tab/>
          </w:r>
          <w:r>
            <w:t>主要污染物处理和排放流程</w:t>
          </w:r>
          <w:r>
            <w:tab/>
          </w:r>
          <w:r>
            <w:rPr>
              <w:rFonts w:ascii="Times New Roman" w:eastAsia="Times New Roman"/>
            </w:rPr>
            <w:t>9</w:t>
          </w:r>
          <w:r>
            <w:rPr>
              <w:rFonts w:ascii="Times New Roman" w:eastAsia="Times New Roman"/>
            </w:rPr>
            <w:fldChar w:fldCharType="end"/>
          </w:r>
        </w:p>
        <w:p>
          <w:pPr>
            <w:pStyle w:val="9"/>
            <w:tabs>
              <w:tab w:val="left" w:pos="1458"/>
              <w:tab w:val="right" w:leader="dot" w:pos="9105"/>
            </w:tabs>
            <w:rPr>
              <w:rFonts w:ascii="Times New Roman" w:eastAsia="Times New Roman"/>
            </w:rPr>
          </w:pPr>
          <w:r>
            <w:fldChar w:fldCharType="begin"/>
          </w:r>
          <w:r>
            <w:instrText xml:space="preserve"> HYPERLINK \l "_TOC_250004" </w:instrText>
          </w:r>
          <w:r>
            <w:fldChar w:fldCharType="separate"/>
          </w:r>
          <w:r>
            <w:t>表</w:t>
          </w:r>
          <w:r>
            <w:rPr>
              <w:spacing w:val="-62"/>
            </w:rPr>
            <w:t xml:space="preserve"> </w:t>
          </w:r>
          <w:r>
            <w:rPr>
              <w:rFonts w:ascii="Times New Roman" w:eastAsia="Times New Roman"/>
            </w:rPr>
            <w:t>4</w:t>
          </w:r>
          <w:r>
            <w:rPr>
              <w:rFonts w:ascii="Times New Roman" w:eastAsia="Times New Roman"/>
            </w:rPr>
            <w:tab/>
          </w:r>
          <w:r>
            <w:t>项目环境影响报告表主要结论及审批决定</w:t>
          </w:r>
          <w:r>
            <w:tab/>
          </w:r>
          <w:r>
            <w:rPr>
              <w:rFonts w:ascii="Times New Roman" w:eastAsia="Times New Roman"/>
            </w:rPr>
            <w:t>12</w:t>
          </w:r>
          <w:r>
            <w:rPr>
              <w:rFonts w:ascii="Times New Roman" w:eastAsia="Times New Roman"/>
            </w:rPr>
            <w:fldChar w:fldCharType="end"/>
          </w:r>
        </w:p>
        <w:p>
          <w:pPr>
            <w:pStyle w:val="9"/>
            <w:tabs>
              <w:tab w:val="left" w:pos="1458"/>
              <w:tab w:val="right" w:leader="dot" w:pos="9105"/>
            </w:tabs>
            <w:spacing w:before="280"/>
            <w:rPr>
              <w:rFonts w:ascii="Times New Roman" w:eastAsia="Times New Roman"/>
            </w:rPr>
          </w:pPr>
          <w:r>
            <w:fldChar w:fldCharType="begin"/>
          </w:r>
          <w:r>
            <w:instrText xml:space="preserve"> HYPERLINK \l "_TOC_250003" </w:instrText>
          </w:r>
          <w:r>
            <w:fldChar w:fldCharType="separate"/>
          </w:r>
          <w:r>
            <w:t>表</w:t>
          </w:r>
          <w:r>
            <w:rPr>
              <w:spacing w:val="-62"/>
            </w:rPr>
            <w:t xml:space="preserve"> </w:t>
          </w:r>
          <w:r>
            <w:rPr>
              <w:rFonts w:ascii="Times New Roman" w:eastAsia="Times New Roman"/>
            </w:rPr>
            <w:t>5</w:t>
          </w:r>
          <w:r>
            <w:rPr>
              <w:rFonts w:ascii="Times New Roman" w:eastAsia="Times New Roman"/>
            </w:rPr>
            <w:tab/>
          </w:r>
          <w:r>
            <w:t>验收监测质量保证及质量控制</w:t>
          </w:r>
          <w:r>
            <w:tab/>
          </w:r>
          <w:r>
            <w:rPr>
              <w:rFonts w:ascii="Times New Roman" w:eastAsia="Times New Roman"/>
            </w:rPr>
            <w:t>20</w:t>
          </w:r>
          <w:r>
            <w:rPr>
              <w:rFonts w:ascii="Times New Roman" w:eastAsia="Times New Roman"/>
            </w:rPr>
            <w:fldChar w:fldCharType="end"/>
          </w:r>
        </w:p>
        <w:p>
          <w:pPr>
            <w:pStyle w:val="9"/>
            <w:tabs>
              <w:tab w:val="left" w:pos="1458"/>
              <w:tab w:val="right" w:leader="dot" w:pos="9105"/>
            </w:tabs>
            <w:spacing w:before="280"/>
            <w:rPr>
              <w:rFonts w:ascii="Times New Roman" w:eastAsia="Times New Roman"/>
            </w:rPr>
          </w:pPr>
          <w:r>
            <w:fldChar w:fldCharType="begin"/>
          </w:r>
          <w:r>
            <w:instrText xml:space="preserve"> HYPERLINK \l "_TOC_250002" </w:instrText>
          </w:r>
          <w:r>
            <w:fldChar w:fldCharType="separate"/>
          </w:r>
          <w:r>
            <w:t>表</w:t>
          </w:r>
          <w:r>
            <w:rPr>
              <w:spacing w:val="-62"/>
            </w:rPr>
            <w:t xml:space="preserve"> </w:t>
          </w:r>
          <w:r>
            <w:rPr>
              <w:rFonts w:ascii="Times New Roman" w:eastAsia="Times New Roman"/>
            </w:rPr>
            <w:t>6</w:t>
          </w:r>
          <w:r>
            <w:rPr>
              <w:rFonts w:ascii="Times New Roman" w:eastAsia="Times New Roman"/>
            </w:rPr>
            <w:tab/>
          </w:r>
          <w:r>
            <w:t>验收监测内容</w:t>
          </w:r>
          <w:r>
            <w:tab/>
          </w:r>
          <w:r>
            <w:rPr>
              <w:rFonts w:ascii="Times New Roman" w:eastAsia="Times New Roman"/>
            </w:rPr>
            <w:t>22</w:t>
          </w:r>
          <w:r>
            <w:rPr>
              <w:rFonts w:ascii="Times New Roman" w:eastAsia="Times New Roman"/>
            </w:rPr>
            <w:fldChar w:fldCharType="end"/>
          </w:r>
        </w:p>
        <w:p>
          <w:pPr>
            <w:pStyle w:val="9"/>
            <w:tabs>
              <w:tab w:val="left" w:pos="1458"/>
              <w:tab w:val="right" w:leader="dot" w:pos="9105"/>
            </w:tabs>
            <w:rPr>
              <w:rFonts w:ascii="Times New Roman" w:eastAsia="Times New Roman"/>
            </w:rPr>
          </w:pPr>
          <w:r>
            <w:fldChar w:fldCharType="begin"/>
          </w:r>
          <w:r>
            <w:instrText xml:space="preserve"> HYPERLINK \l "_TOC_250001" </w:instrText>
          </w:r>
          <w:r>
            <w:fldChar w:fldCharType="separate"/>
          </w:r>
          <w:r>
            <w:t>表</w:t>
          </w:r>
          <w:r>
            <w:rPr>
              <w:spacing w:val="-62"/>
            </w:rPr>
            <w:t xml:space="preserve"> </w:t>
          </w:r>
          <w:r>
            <w:rPr>
              <w:rFonts w:ascii="Times New Roman" w:eastAsia="Times New Roman"/>
            </w:rPr>
            <w:t>7</w:t>
          </w:r>
          <w:r>
            <w:rPr>
              <w:rFonts w:ascii="Times New Roman" w:eastAsia="Times New Roman"/>
            </w:rPr>
            <w:tab/>
          </w:r>
          <w:r>
            <w:t>验收监测结果</w:t>
          </w:r>
          <w:r>
            <w:tab/>
          </w:r>
          <w:r>
            <w:rPr>
              <w:rFonts w:ascii="Times New Roman" w:eastAsia="Times New Roman"/>
            </w:rPr>
            <w:t>23</w:t>
          </w:r>
          <w:r>
            <w:rPr>
              <w:rFonts w:ascii="Times New Roman" w:eastAsia="Times New Roman"/>
            </w:rPr>
            <w:fldChar w:fldCharType="end"/>
          </w:r>
        </w:p>
        <w:p>
          <w:pPr>
            <w:pStyle w:val="9"/>
            <w:tabs>
              <w:tab w:val="left" w:pos="1458"/>
              <w:tab w:val="right" w:leader="dot" w:pos="9105"/>
            </w:tabs>
            <w:spacing w:before="280"/>
            <w:rPr>
              <w:rFonts w:ascii="Times New Roman" w:eastAsia="Times New Roman"/>
            </w:rPr>
          </w:pPr>
          <w:r>
            <w:fldChar w:fldCharType="begin"/>
          </w:r>
          <w:r>
            <w:instrText xml:space="preserve"> HYPERLINK \l "_TOC_250000" </w:instrText>
          </w:r>
          <w:r>
            <w:fldChar w:fldCharType="separate"/>
          </w:r>
          <w:r>
            <w:t>表</w:t>
          </w:r>
          <w:r>
            <w:rPr>
              <w:spacing w:val="-62"/>
            </w:rPr>
            <w:t xml:space="preserve"> </w:t>
          </w:r>
          <w:r>
            <w:rPr>
              <w:rFonts w:ascii="Times New Roman" w:eastAsia="Times New Roman"/>
            </w:rPr>
            <w:t>8</w:t>
          </w:r>
          <w:r>
            <w:rPr>
              <w:rFonts w:ascii="Times New Roman" w:eastAsia="Times New Roman"/>
            </w:rPr>
            <w:tab/>
          </w:r>
          <w:r>
            <w:t>验收监测结论及建议</w:t>
          </w:r>
          <w:r>
            <w:tab/>
          </w:r>
          <w:r>
            <w:rPr>
              <w:rFonts w:ascii="Times New Roman" w:eastAsia="Times New Roman"/>
            </w:rPr>
            <w:t>27</w:t>
          </w:r>
          <w:r>
            <w:rPr>
              <w:rFonts w:ascii="Times New Roman" w:eastAsia="Times New Roman"/>
            </w:rPr>
            <w:fldChar w:fldCharType="end"/>
          </w:r>
        </w:p>
      </w:sdtContent>
    </w:sdt>
    <w:p>
      <w:pPr>
        <w:pStyle w:val="5"/>
        <w:rPr>
          <w:rFonts w:ascii="Times New Roman"/>
          <w:b/>
          <w:sz w:val="26"/>
        </w:rPr>
      </w:pPr>
    </w:p>
    <w:p>
      <w:pPr>
        <w:pStyle w:val="5"/>
        <w:rPr>
          <w:rFonts w:ascii="Times New Roman"/>
          <w:b/>
          <w:sz w:val="26"/>
        </w:rPr>
      </w:pPr>
    </w:p>
    <w:p>
      <w:pPr>
        <w:pStyle w:val="3"/>
        <w:spacing w:before="165"/>
        <w:ind w:left="798"/>
      </w:pPr>
      <w:r>
        <w:t>附件 ：</w:t>
      </w:r>
    </w:p>
    <w:p>
      <w:pPr>
        <w:pStyle w:val="5"/>
        <w:spacing w:before="159" w:line="362" w:lineRule="auto"/>
        <w:ind w:left="798" w:right="797"/>
        <w:rPr>
          <w:color w:val="auto"/>
        </w:rPr>
      </w:pPr>
      <w:r>
        <w:rPr>
          <w:color w:val="auto"/>
          <w:spacing w:val="-20"/>
        </w:rPr>
        <w:t>附件</w:t>
      </w:r>
      <w:r>
        <w:rPr>
          <w:rFonts w:ascii="Times New Roman" w:eastAsia="Times New Roman"/>
          <w:color w:val="auto"/>
          <w:spacing w:val="-9"/>
        </w:rPr>
        <w:t>1</w:t>
      </w:r>
      <w:r>
        <w:rPr>
          <w:color w:val="auto"/>
          <w:spacing w:val="-5"/>
        </w:rPr>
        <w:t>：</w:t>
      </w:r>
      <w:r>
        <w:rPr>
          <w:rFonts w:hint="default" w:ascii="Times New Roman" w:hAnsi="Times New Roman" w:cs="Times New Roman"/>
          <w:color w:val="auto"/>
          <w:spacing w:val="-5"/>
          <w:sz w:val="24"/>
          <w:lang w:val="en-US" w:eastAsia="zh-CN"/>
        </w:rPr>
        <w:t>贵州双龙航空港经济区生态建设管理局黔双龙建设发[2017]46号《关于年印刷标签300万平方米项目环境影响报告表的批复》</w:t>
      </w:r>
      <w:r>
        <w:rPr>
          <w:color w:val="auto"/>
        </w:rPr>
        <w:t>；</w:t>
      </w:r>
    </w:p>
    <w:p>
      <w:pPr>
        <w:pStyle w:val="5"/>
        <w:spacing w:before="4" w:line="364" w:lineRule="auto"/>
        <w:ind w:left="798" w:right="5977"/>
        <w:rPr>
          <w:rFonts w:hint="default" w:ascii="Times New Roman" w:hAnsi="Times New Roman" w:cs="Times New Roman"/>
          <w:color w:val="auto"/>
        </w:rPr>
      </w:pPr>
      <w:r>
        <w:rPr>
          <w:color w:val="auto"/>
        </w:rPr>
        <w:t>附件</w:t>
      </w:r>
      <w:r>
        <w:rPr>
          <w:rFonts w:hint="default" w:ascii="Times New Roman" w:hAnsi="Times New Roman" w:eastAsia="Times New Roman" w:cs="Times New Roman"/>
          <w:color w:val="auto"/>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固废处置合作</w:t>
      </w:r>
      <w:r>
        <w:rPr>
          <w:rFonts w:hint="default" w:ascii="Times New Roman" w:hAnsi="Times New Roman" w:cs="Times New Roman"/>
          <w:color w:val="auto"/>
        </w:rPr>
        <w:t>协议；</w:t>
      </w:r>
    </w:p>
    <w:p>
      <w:pPr>
        <w:pStyle w:val="5"/>
        <w:spacing w:before="4" w:line="364" w:lineRule="auto"/>
        <w:ind w:left="798" w:right="5977"/>
        <w:rPr>
          <w:rFonts w:hint="default" w:ascii="Times New Roman" w:hAnsi="Times New Roman" w:cs="Times New Roman"/>
          <w:color w:val="auto"/>
        </w:rPr>
      </w:pPr>
      <w:r>
        <w:rPr>
          <w:rFonts w:hint="default" w:ascii="Times New Roman" w:hAnsi="Times New Roman" w:cs="Times New Roman"/>
          <w:color w:val="auto"/>
          <w:lang w:val="en-US" w:eastAsia="zh-CN"/>
        </w:rPr>
        <w:t>附件3：工况说明；</w:t>
      </w:r>
      <w:r>
        <w:rPr>
          <w:rFonts w:hint="default" w:ascii="Times New Roman" w:hAnsi="Times New Roman" w:cs="Times New Roman"/>
          <w:color w:val="auto"/>
        </w:rPr>
        <w:t xml:space="preserve"> </w:t>
      </w:r>
    </w:p>
    <w:p>
      <w:pPr>
        <w:pStyle w:val="5"/>
        <w:spacing w:before="4" w:line="364" w:lineRule="auto"/>
        <w:ind w:left="798" w:right="5977"/>
        <w:rPr>
          <w:rFonts w:hint="default" w:ascii="Times New Roman" w:hAnsi="Times New Roman" w:cs="Times New Roman"/>
          <w:color w:val="auto"/>
          <w:lang w:eastAsia="zh-CN"/>
        </w:rPr>
      </w:pPr>
      <w:r>
        <w:rPr>
          <w:rFonts w:hint="default" w:ascii="Times New Roman" w:hAnsi="Times New Roman" w:cs="Times New Roman"/>
          <w:color w:val="auto"/>
        </w:rPr>
        <w:t>附件</w:t>
      </w:r>
      <w:r>
        <w:rPr>
          <w:rFonts w:hint="default" w:ascii="Times New Roman" w:hAnsi="Times New Roman" w:cs="Times New Roman"/>
          <w:color w:val="auto"/>
          <w:lang w:val="en-US" w:eastAsia="zh-CN"/>
        </w:rPr>
        <w:t>4</w:t>
      </w:r>
      <w:r>
        <w:rPr>
          <w:rFonts w:hint="default" w:ascii="Times New Roman" w:hAnsi="Times New Roman" w:cs="Times New Roman"/>
          <w:color w:val="auto"/>
        </w:rPr>
        <w:t>：项目验收检测报告</w:t>
      </w:r>
      <w:r>
        <w:rPr>
          <w:rFonts w:hint="default" w:ascii="Times New Roman" w:hAnsi="Times New Roman" w:cs="Times New Roman"/>
          <w:color w:val="auto"/>
          <w:lang w:eastAsia="zh-CN"/>
        </w:rPr>
        <w:t>；</w:t>
      </w:r>
    </w:p>
    <w:p>
      <w:pPr>
        <w:pStyle w:val="5"/>
        <w:spacing w:before="4" w:line="364" w:lineRule="auto"/>
        <w:ind w:left="798" w:right="10" w:rightChars="0"/>
        <w:rPr>
          <w:rFonts w:hint="eastAsia"/>
          <w:color w:val="auto"/>
          <w:lang w:val="en-US" w:eastAsia="zh-CN"/>
        </w:rPr>
      </w:pPr>
      <w:r>
        <w:rPr>
          <w:rFonts w:hint="default" w:ascii="Times New Roman" w:hAnsi="Times New Roman" w:cs="Times New Roman"/>
          <w:color w:val="auto"/>
          <w:lang w:val="en-US" w:eastAsia="zh-CN"/>
        </w:rPr>
        <w:t>附件5：建设项</w:t>
      </w:r>
      <w:r>
        <w:rPr>
          <w:rFonts w:hint="eastAsia"/>
          <w:color w:val="auto"/>
          <w:lang w:val="en-US" w:eastAsia="zh-CN"/>
        </w:rPr>
        <w:t>目工程竣工环境保护“三同时”验收登记表。</w:t>
      </w:r>
    </w:p>
    <w:p>
      <w:pPr>
        <w:pStyle w:val="5"/>
        <w:spacing w:before="4" w:line="364" w:lineRule="auto"/>
        <w:ind w:left="798" w:right="5977"/>
        <w:rPr>
          <w:rFonts w:hint="default"/>
          <w:color w:val="auto"/>
          <w:lang w:val="en-US" w:eastAsia="zh-CN"/>
        </w:rPr>
      </w:pPr>
    </w:p>
    <w:p>
      <w:pPr>
        <w:pStyle w:val="5"/>
        <w:rPr>
          <w:color w:val="FF0000"/>
          <w:sz w:val="26"/>
        </w:rPr>
      </w:pPr>
    </w:p>
    <w:p>
      <w:pPr>
        <w:pStyle w:val="5"/>
        <w:rPr>
          <w:color w:val="FF0000"/>
          <w:sz w:val="26"/>
        </w:rPr>
      </w:pPr>
    </w:p>
    <w:p>
      <w:pPr>
        <w:pStyle w:val="5"/>
        <w:spacing w:before="8"/>
        <w:rPr>
          <w:color w:val="FF0000"/>
          <w:sz w:val="23"/>
        </w:rPr>
      </w:pPr>
    </w:p>
    <w:p>
      <w:pPr>
        <w:pStyle w:val="3"/>
        <w:ind w:left="798"/>
        <w:rPr>
          <w:color w:val="auto"/>
        </w:rPr>
      </w:pPr>
      <w:r>
        <w:rPr>
          <w:color w:val="auto"/>
        </w:rPr>
        <w:t>附图：</w:t>
      </w:r>
    </w:p>
    <w:p>
      <w:pPr>
        <w:pStyle w:val="5"/>
        <w:spacing w:before="159" w:line="364" w:lineRule="auto"/>
        <w:ind w:left="798" w:right="6283"/>
        <w:jc w:val="both"/>
        <w:rPr>
          <w:color w:val="auto"/>
        </w:rPr>
      </w:pPr>
      <w:r>
        <w:rPr>
          <w:color w:val="auto"/>
          <w:spacing w:val="-20"/>
        </w:rPr>
        <w:t>附图</w:t>
      </w:r>
      <w:r>
        <w:rPr>
          <w:rFonts w:ascii="Times New Roman" w:eastAsia="Times New Roman"/>
          <w:color w:val="auto"/>
        </w:rPr>
        <w:t>1</w:t>
      </w:r>
      <w:r>
        <w:rPr>
          <w:color w:val="auto"/>
          <w:spacing w:val="-2"/>
        </w:rPr>
        <w:t xml:space="preserve">：项目地理位置图； </w:t>
      </w:r>
      <w:r>
        <w:rPr>
          <w:color w:val="auto"/>
          <w:spacing w:val="-20"/>
        </w:rPr>
        <w:t>附图</w:t>
      </w:r>
      <w:r>
        <w:rPr>
          <w:rFonts w:ascii="Times New Roman" w:eastAsia="Times New Roman"/>
          <w:color w:val="auto"/>
        </w:rPr>
        <w:t>2</w:t>
      </w:r>
      <w:r>
        <w:rPr>
          <w:color w:val="auto"/>
          <w:spacing w:val="-2"/>
        </w:rPr>
        <w:t xml:space="preserve">：项目周边关系图； </w:t>
      </w:r>
      <w:r>
        <w:rPr>
          <w:color w:val="auto"/>
          <w:spacing w:val="-20"/>
        </w:rPr>
        <w:t>附图</w:t>
      </w:r>
      <w:r>
        <w:rPr>
          <w:rFonts w:ascii="Times New Roman" w:eastAsia="Times New Roman"/>
          <w:color w:val="auto"/>
        </w:rPr>
        <w:t>3</w:t>
      </w:r>
      <w:r>
        <w:rPr>
          <w:color w:val="auto"/>
          <w:spacing w:val="-2"/>
        </w:rPr>
        <w:t>：项目平面布置图。</w:t>
      </w:r>
    </w:p>
    <w:p>
      <w:pPr>
        <w:spacing w:after="0" w:line="364" w:lineRule="auto"/>
        <w:jc w:val="both"/>
        <w:rPr>
          <w:color w:val="auto"/>
        </w:rPr>
        <w:sectPr>
          <w:pgSz w:w="11910" w:h="16840"/>
          <w:pgMar w:top="1380" w:right="1000" w:bottom="280" w:left="1000" w:header="720" w:footer="720" w:gutter="0"/>
          <w:pgBorders>
            <w:top w:val="none" w:sz="0" w:space="0"/>
            <w:left w:val="none" w:sz="0" w:space="0"/>
            <w:bottom w:val="none" w:sz="0" w:space="0"/>
            <w:right w:val="none" w:sz="0" w:space="0"/>
          </w:pgBorders>
          <w:cols w:space="720" w:num="1"/>
        </w:sectPr>
      </w:pPr>
    </w:p>
    <w:p>
      <w:pPr>
        <w:pStyle w:val="5"/>
        <w:spacing w:before="4"/>
        <w:rPr>
          <w:rFonts w:ascii="Times New Roman"/>
          <w:sz w:val="17"/>
        </w:rPr>
      </w:pPr>
    </w:p>
    <w:p>
      <w:pPr>
        <w:pStyle w:val="2"/>
        <w:ind w:left="4530"/>
        <w:jc w:val="both"/>
        <w:rPr>
          <w:rFonts w:hint="default" w:ascii="Times New Roman" w:hAnsi="Times New Roman" w:eastAsia="宋体" w:cs="Times New Roman"/>
          <w:b w:val="0"/>
          <w:bCs w:val="0"/>
          <w:spacing w:val="-5"/>
          <w:sz w:val="24"/>
          <w:szCs w:val="24"/>
          <w:lang w:val="zh-CN" w:eastAsia="zh-CN" w:bidi="zh-CN"/>
        </w:rPr>
      </w:pPr>
      <w:bookmarkStart w:id="0" w:name="_TOC_250008"/>
      <w:bookmarkEnd w:id="0"/>
      <w:r>
        <w:rPr>
          <w:rFonts w:hint="default" w:ascii="Times New Roman" w:hAnsi="Times New Roman" w:eastAsia="宋体" w:cs="Times New Roman"/>
          <w:b w:val="0"/>
          <w:bCs w:val="0"/>
          <w:spacing w:val="-5"/>
          <w:sz w:val="24"/>
          <w:szCs w:val="24"/>
          <w:lang w:val="zh-CN" w:eastAsia="zh-CN" w:bidi="zh-CN"/>
        </w:rPr>
        <w:t>前 言</w:t>
      </w:r>
    </w:p>
    <w:p>
      <w:pPr>
        <w:pStyle w:val="5"/>
        <w:spacing w:before="184" w:line="364" w:lineRule="auto"/>
        <w:ind w:left="798" w:right="794" w:firstLine="480"/>
        <w:jc w:val="both"/>
        <w:rPr>
          <w:rFonts w:hint="default" w:ascii="Times New Roman" w:hAnsi="Times New Roman" w:cs="Times New Roman"/>
          <w:spacing w:val="-5"/>
          <w:sz w:val="24"/>
          <w:lang w:val="zh-CN" w:eastAsia="zh-CN"/>
        </w:rPr>
      </w:pPr>
      <w:r>
        <w:rPr>
          <w:rFonts w:hint="default" w:ascii="Times New Roman" w:hAnsi="Times New Roman" w:cs="Times New Roman"/>
          <w:spacing w:val="-5"/>
          <w:sz w:val="24"/>
          <w:lang w:val="zh-CN" w:eastAsia="zh-CN"/>
        </w:rPr>
        <w:t>贵阳天星智能包装有限公司（以下简称“建设单位”）</w:t>
      </w:r>
      <w:r>
        <w:rPr>
          <w:rFonts w:hint="default" w:ascii="Times New Roman" w:hAnsi="Times New Roman" w:cs="Times New Roman"/>
          <w:spacing w:val="-5"/>
          <w:sz w:val="24"/>
          <w:lang w:val="en-US" w:eastAsia="zh-CN"/>
        </w:rPr>
        <w:t>位</w:t>
      </w:r>
      <w:r>
        <w:rPr>
          <w:rFonts w:hint="default" w:ascii="Times New Roman" w:hAnsi="Times New Roman" w:cs="Times New Roman"/>
          <w:spacing w:val="-5"/>
          <w:sz w:val="24"/>
          <w:lang w:val="zh-CN" w:eastAsia="zh-CN"/>
        </w:rPr>
        <w:t>于贵州双龙航空港经济区贵州宝信捷投资有限公司印刷平台 4 号车间 3 层 1 号（属南明区食品轻工业园印刷平台建设项目范围），租用贵州宝信捷投资有限公司印刷平台厂房，建设单位所租厂房原也为印刷厂，总占地面积为 670.13m2，租赁后用于建设年印刷标签 300 万平方米项目。</w:t>
      </w:r>
    </w:p>
    <w:p>
      <w:pPr>
        <w:pStyle w:val="5"/>
        <w:spacing w:before="184" w:line="364" w:lineRule="auto"/>
        <w:ind w:left="798" w:right="794" w:firstLine="480"/>
        <w:jc w:val="both"/>
        <w:rPr>
          <w:rFonts w:hint="default" w:ascii="Times New Roman" w:hAnsi="Times New Roman" w:cs="Times New Roman"/>
          <w:spacing w:val="-5"/>
          <w:sz w:val="24"/>
          <w:lang w:val="zh-CN" w:eastAsia="zh-CN"/>
        </w:rPr>
      </w:pPr>
      <w:r>
        <w:rPr>
          <w:rFonts w:hint="default" w:ascii="Times New Roman" w:hAnsi="Times New Roman" w:cs="Times New Roman"/>
          <w:spacing w:val="-5"/>
          <w:sz w:val="24"/>
          <w:lang w:val="zh-CN" w:eastAsia="zh-CN"/>
        </w:rPr>
        <w:t>本项目租赁贵州宝信捷投资有限公司 4 号车间 3 层 1 号作为生产经营场所。贵州宝信捷投资有限公司已于 2012 年委托贵州省交通科学研究院有限责任公司就 4 座车间及该公司印刷项目编制完成环境影响评价报告表，并于 2012 年 11 月16 日取得贵阳市环保局环评审批意见（筑环表【2012】153 号，详见附件）；并取得贵阳市环保局出具的关于《关于贵州宝信捷投资有限公司印刷平台建设项目主要污染物总量指标调剂的请示》的复函）（筑环函【2012】229 号，详见附件），核定项目污染物排放总量指标为：化学需氧量 1.306t/a；氨氮 0.196t/a。</w:t>
      </w:r>
    </w:p>
    <w:p>
      <w:pPr>
        <w:pStyle w:val="5"/>
        <w:spacing w:before="184" w:line="364" w:lineRule="auto"/>
        <w:ind w:left="798" w:right="794" w:firstLine="480"/>
        <w:jc w:val="both"/>
        <w:rPr>
          <w:rFonts w:hint="default" w:ascii="Times New Roman" w:hAnsi="Times New Roman" w:cs="Times New Roman"/>
          <w:spacing w:val="-5"/>
          <w:sz w:val="24"/>
          <w:lang w:val="zh-CN" w:eastAsia="zh-CN"/>
        </w:rPr>
      </w:pPr>
      <w:r>
        <w:rPr>
          <w:rFonts w:hint="default" w:ascii="Times New Roman" w:hAnsi="Times New Roman" w:cs="Times New Roman"/>
          <w:spacing w:val="-5"/>
          <w:sz w:val="24"/>
          <w:lang w:val="zh-CN" w:eastAsia="zh-CN"/>
        </w:rPr>
        <w:t>本项目拟于 2017 年 10 月开工建设，2017 年 12 月建成投产。因此，本环评属于新建项目环评。</w:t>
      </w:r>
    </w:p>
    <w:p>
      <w:pPr>
        <w:pStyle w:val="5"/>
        <w:spacing w:before="184" w:line="364" w:lineRule="auto"/>
        <w:ind w:left="798" w:right="794" w:firstLine="480"/>
        <w:jc w:val="both"/>
        <w:rPr>
          <w:rFonts w:ascii="Times New Roman"/>
          <w:sz w:val="17"/>
        </w:rPr>
        <w:sectPr>
          <w:footerReference r:id="rId5" w:type="default"/>
          <w:pgSz w:w="11910" w:h="16840"/>
          <w:pgMar w:top="1600" w:right="1000" w:bottom="1100" w:left="1000" w:header="0" w:footer="915" w:gutter="0"/>
          <w:pgBorders>
            <w:top w:val="none" w:sz="0" w:space="0"/>
            <w:left w:val="none" w:sz="0" w:space="0"/>
            <w:bottom w:val="none" w:sz="0" w:space="0"/>
            <w:right w:val="none" w:sz="0" w:space="0"/>
          </w:pgBorders>
          <w:cols w:space="720" w:num="1"/>
        </w:sectPr>
      </w:pPr>
      <w:r>
        <w:rPr>
          <w:rFonts w:hint="default" w:ascii="Times New Roman" w:hAnsi="Times New Roman" w:cs="Times New Roman"/>
          <w:spacing w:val="-5"/>
          <w:sz w:val="24"/>
          <w:lang w:val="zh-CN" w:eastAsia="zh-CN"/>
        </w:rPr>
        <w:t>根据《中华人民共和国环境影响评价法》、《建设项目分类管理名录》（44 号公告）及《贵州省建设项目环境影响评价文件分级审批目录（2015 年版）》的公告》（《黔环通（2015）269 号）意见编制环评报告表。受贵阳天星智能包装有限公司的委托，深圳市环新环保技术有限公司承担了该项目的环境影响评价工作。在现场踏勘和资料收集等的基础上，根据环评技术导则及其它有关文件，在征求环保主管部门意见的基础上，编制完成了该项目的环境影响报告表。作为本项目竣工环境保护自主验收的依据</w:t>
      </w:r>
      <w:r>
        <w:t>。</w:t>
      </w:r>
    </w:p>
    <w:p>
      <w:pPr>
        <w:pStyle w:val="2"/>
        <w:tabs>
          <w:tab w:val="left" w:pos="1570"/>
        </w:tabs>
      </w:pPr>
      <w:bookmarkStart w:id="1" w:name="_TOC_250007"/>
      <w:r>
        <w:t>表</w:t>
      </w:r>
      <w:r>
        <w:rPr>
          <w:spacing w:val="-71"/>
        </w:rPr>
        <w:t xml:space="preserve"> </w:t>
      </w:r>
      <w:r>
        <w:rPr>
          <w:rFonts w:ascii="Times New Roman" w:eastAsia="Times New Roman"/>
        </w:rPr>
        <w:t>1</w:t>
      </w:r>
      <w:r>
        <w:rPr>
          <w:rFonts w:ascii="Times New Roman" w:eastAsia="Times New Roman"/>
        </w:rPr>
        <w:tab/>
      </w:r>
      <w:bookmarkEnd w:id="1"/>
      <w:r>
        <w:t>基本情况表</w:t>
      </w:r>
    </w:p>
    <w:tbl>
      <w:tblPr>
        <w:tblStyle w:val="10"/>
        <w:tblW w:w="50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18"/>
        <w:gridCol w:w="1771"/>
        <w:gridCol w:w="2546"/>
        <w:gridCol w:w="1584"/>
        <w:gridCol w:w="793"/>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1164" w:type="pct"/>
            <w:vAlign w:val="top"/>
          </w:tcPr>
          <w:p>
            <w:pPr>
              <w:pStyle w:val="15"/>
              <w:spacing w:before="77"/>
              <w:ind w:left="383"/>
              <w:jc w:val="both"/>
              <w:rPr>
                <w:b/>
                <w:sz w:val="24"/>
              </w:rPr>
            </w:pPr>
            <w:r>
              <w:rPr>
                <w:b/>
                <w:sz w:val="24"/>
              </w:rPr>
              <w:t>建设项目名称</w:t>
            </w:r>
          </w:p>
        </w:tc>
        <w:tc>
          <w:tcPr>
            <w:tcW w:w="3835" w:type="pct"/>
            <w:gridSpan w:val="5"/>
            <w:vAlign w:val="center"/>
          </w:tcPr>
          <w:p>
            <w:pPr>
              <w:pStyle w:val="15"/>
              <w:spacing w:before="77"/>
              <w:ind w:left="1221" w:right="1207"/>
              <w:jc w:val="center"/>
              <w:rPr>
                <w:sz w:val="24"/>
              </w:rPr>
            </w:pPr>
            <w:r>
              <w:rPr>
                <w:rFonts w:hint="eastAsia"/>
                <w:b w:val="0"/>
                <w:bCs/>
                <w:sz w:val="24"/>
                <w:lang w:val="en-US" w:eastAsia="zh-CN"/>
              </w:rPr>
              <w:t>年印刷标签300万平方米项目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1164" w:type="pct"/>
            <w:vAlign w:val="top"/>
          </w:tcPr>
          <w:p>
            <w:pPr>
              <w:pStyle w:val="15"/>
              <w:spacing w:before="75"/>
              <w:ind w:left="383"/>
              <w:jc w:val="both"/>
              <w:rPr>
                <w:b/>
                <w:sz w:val="24"/>
              </w:rPr>
            </w:pPr>
            <w:r>
              <w:rPr>
                <w:b/>
                <w:sz w:val="24"/>
              </w:rPr>
              <w:t>建设单位名称</w:t>
            </w:r>
          </w:p>
        </w:tc>
        <w:tc>
          <w:tcPr>
            <w:tcW w:w="3835" w:type="pct"/>
            <w:gridSpan w:val="5"/>
            <w:vAlign w:val="center"/>
          </w:tcPr>
          <w:p>
            <w:pPr>
              <w:pStyle w:val="15"/>
              <w:spacing w:before="75"/>
              <w:jc w:val="center"/>
              <w:rPr>
                <w:rFonts w:hint="default" w:eastAsia="宋体"/>
                <w:sz w:val="24"/>
                <w:lang w:val="en-US" w:eastAsia="zh-CN"/>
              </w:rPr>
            </w:pPr>
            <w:r>
              <w:rPr>
                <w:rFonts w:hint="eastAsia"/>
                <w:sz w:val="24"/>
                <w:lang w:val="en-US" w:eastAsia="zh-CN"/>
              </w:rPr>
              <w:t>贵阳天星智能包装有限公司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6" w:hRule="atLeast"/>
        </w:trPr>
        <w:tc>
          <w:tcPr>
            <w:tcW w:w="1164" w:type="pct"/>
            <w:vAlign w:val="top"/>
          </w:tcPr>
          <w:p>
            <w:pPr>
              <w:pStyle w:val="15"/>
              <w:spacing w:before="107"/>
              <w:ind w:left="383"/>
              <w:jc w:val="both"/>
              <w:rPr>
                <w:b/>
                <w:sz w:val="24"/>
              </w:rPr>
            </w:pPr>
            <w:r>
              <w:rPr>
                <w:b/>
                <w:sz w:val="24"/>
              </w:rPr>
              <w:t>建设项目性质</w:t>
            </w:r>
          </w:p>
        </w:tc>
        <w:tc>
          <w:tcPr>
            <w:tcW w:w="3835" w:type="pct"/>
            <w:gridSpan w:val="5"/>
            <w:vAlign w:val="center"/>
          </w:tcPr>
          <w:p>
            <w:pPr>
              <w:pStyle w:val="15"/>
              <w:jc w:val="center"/>
              <w:rPr>
                <w:rFonts w:hint="eastAsia" w:ascii="Times New Roman" w:eastAsia="宋体"/>
                <w:sz w:val="24"/>
                <w:lang w:val="en-US" w:eastAsia="zh-CN"/>
              </w:rPr>
            </w:pPr>
            <w:r>
              <w:rPr>
                <w:rFonts w:hint="eastAsia" w:ascii="Times New Roman"/>
                <w:sz w:val="24"/>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164" w:type="pct"/>
            <w:vAlign w:val="top"/>
          </w:tcPr>
          <w:p>
            <w:pPr>
              <w:pStyle w:val="15"/>
              <w:spacing w:before="87"/>
              <w:ind w:left="623"/>
              <w:jc w:val="both"/>
              <w:rPr>
                <w:b/>
                <w:sz w:val="24"/>
              </w:rPr>
            </w:pPr>
            <w:r>
              <w:rPr>
                <w:b/>
                <w:sz w:val="24"/>
              </w:rPr>
              <w:t>建设地点</w:t>
            </w:r>
          </w:p>
        </w:tc>
        <w:tc>
          <w:tcPr>
            <w:tcW w:w="3835" w:type="pct"/>
            <w:gridSpan w:val="5"/>
            <w:vAlign w:val="center"/>
          </w:tcPr>
          <w:p>
            <w:pPr>
              <w:pStyle w:val="15"/>
              <w:spacing w:before="87"/>
              <w:jc w:val="center"/>
              <w:rPr>
                <w:sz w:val="24"/>
              </w:rPr>
            </w:pPr>
            <w:r>
              <w:rPr>
                <w:rFonts w:hint="eastAsia" w:ascii="Times New Roman"/>
                <w:sz w:val="24"/>
                <w:lang w:val="en-US" w:eastAsia="zh-CN"/>
              </w:rPr>
              <w:t>贵州双龙航空港经济区贵州宝信捷投资有限公司 4 号车间 3 层 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164" w:type="pct"/>
            <w:vAlign w:val="top"/>
          </w:tcPr>
          <w:p>
            <w:pPr>
              <w:pStyle w:val="15"/>
              <w:spacing w:before="80"/>
              <w:ind w:left="383"/>
              <w:jc w:val="both"/>
              <w:rPr>
                <w:b/>
                <w:sz w:val="24"/>
              </w:rPr>
            </w:pPr>
            <w:r>
              <w:rPr>
                <w:b/>
                <w:sz w:val="24"/>
              </w:rPr>
              <w:t>主要产品名称</w:t>
            </w:r>
          </w:p>
        </w:tc>
        <w:tc>
          <w:tcPr>
            <w:tcW w:w="3835" w:type="pct"/>
            <w:gridSpan w:val="5"/>
            <w:vAlign w:val="center"/>
          </w:tcPr>
          <w:p>
            <w:pPr>
              <w:pStyle w:val="15"/>
              <w:spacing w:before="80"/>
              <w:ind w:left="1221" w:right="1207"/>
              <w:jc w:val="center"/>
              <w:rPr>
                <w:rFonts w:hint="default" w:eastAsia="宋体"/>
                <w:sz w:val="24"/>
                <w:lang w:val="en-US" w:eastAsia="zh-CN"/>
              </w:rPr>
            </w:pPr>
            <w:r>
              <w:rPr>
                <w:rFonts w:hint="eastAsia"/>
                <w:sz w:val="24"/>
                <w:lang w:val="en-US" w:eastAsia="zh-CN"/>
              </w:rPr>
              <w:t>不干胶标签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164" w:type="pct"/>
            <w:vAlign w:val="top"/>
          </w:tcPr>
          <w:p>
            <w:pPr>
              <w:pStyle w:val="15"/>
              <w:spacing w:before="75"/>
              <w:ind w:left="383"/>
              <w:jc w:val="both"/>
              <w:rPr>
                <w:b/>
                <w:sz w:val="24"/>
              </w:rPr>
            </w:pPr>
            <w:r>
              <w:rPr>
                <w:b/>
                <w:sz w:val="24"/>
              </w:rPr>
              <w:t>设计生产能力</w:t>
            </w:r>
          </w:p>
        </w:tc>
        <w:tc>
          <w:tcPr>
            <w:tcW w:w="3835" w:type="pct"/>
            <w:gridSpan w:val="5"/>
            <w:vAlign w:val="center"/>
          </w:tcPr>
          <w:p>
            <w:pPr>
              <w:pStyle w:val="15"/>
              <w:tabs>
                <w:tab w:val="left" w:pos="3145"/>
                <w:tab w:val="center" w:pos="3875"/>
              </w:tabs>
              <w:spacing w:before="75"/>
              <w:jc w:val="center"/>
              <w:rPr>
                <w:rFonts w:hint="default" w:eastAsia="宋体"/>
                <w:sz w:val="24"/>
                <w:lang w:val="en-US" w:eastAsia="zh-CN"/>
              </w:rPr>
            </w:pPr>
            <w:r>
              <w:rPr>
                <w:rFonts w:hint="eastAsia"/>
                <w:sz w:val="24"/>
                <w:lang w:val="en-US" w:eastAsia="zh-CN"/>
              </w:rPr>
              <w:t>年产300万平方米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164" w:type="pct"/>
            <w:vAlign w:val="top"/>
          </w:tcPr>
          <w:p>
            <w:pPr>
              <w:pStyle w:val="15"/>
              <w:spacing w:before="80"/>
              <w:ind w:left="383"/>
              <w:jc w:val="both"/>
              <w:rPr>
                <w:b/>
                <w:sz w:val="24"/>
              </w:rPr>
            </w:pPr>
            <w:r>
              <w:rPr>
                <w:b/>
                <w:sz w:val="24"/>
              </w:rPr>
              <w:t>实际生产能力</w:t>
            </w:r>
          </w:p>
        </w:tc>
        <w:tc>
          <w:tcPr>
            <w:tcW w:w="3835" w:type="pct"/>
            <w:gridSpan w:val="5"/>
            <w:vAlign w:val="center"/>
          </w:tcPr>
          <w:p>
            <w:pPr>
              <w:pStyle w:val="15"/>
              <w:spacing w:before="80"/>
              <w:jc w:val="center"/>
              <w:rPr>
                <w:sz w:val="24"/>
              </w:rPr>
            </w:pPr>
            <w:r>
              <w:rPr>
                <w:rFonts w:hint="eastAsia"/>
                <w:sz w:val="24"/>
                <w:lang w:val="en-US" w:eastAsia="zh-CN"/>
              </w:rPr>
              <w:t>年产280万平方米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1164" w:type="pct"/>
            <w:vAlign w:val="top"/>
          </w:tcPr>
          <w:p>
            <w:pPr>
              <w:pStyle w:val="15"/>
              <w:spacing w:before="95"/>
              <w:ind w:left="143"/>
              <w:jc w:val="both"/>
              <w:rPr>
                <w:b/>
                <w:sz w:val="24"/>
              </w:rPr>
            </w:pPr>
            <w:r>
              <w:rPr>
                <w:b/>
                <w:sz w:val="24"/>
              </w:rPr>
              <w:t>建设项目环评时间</w:t>
            </w:r>
          </w:p>
        </w:tc>
        <w:tc>
          <w:tcPr>
            <w:tcW w:w="889" w:type="pct"/>
            <w:vAlign w:val="center"/>
          </w:tcPr>
          <w:p>
            <w:pPr>
              <w:pStyle w:val="15"/>
              <w:spacing w:before="95"/>
              <w:ind w:left="223" w:right="215"/>
              <w:jc w:val="center"/>
              <w:rPr>
                <w:rFonts w:hint="default" w:eastAsia="宋体"/>
                <w:sz w:val="24"/>
                <w:lang w:val="en-US" w:eastAsia="zh-CN"/>
              </w:rPr>
            </w:pPr>
            <w:r>
              <w:rPr>
                <w:rFonts w:hint="eastAsia"/>
                <w:sz w:val="24"/>
                <w:lang w:val="en-US" w:eastAsia="zh-CN"/>
              </w:rPr>
              <w:t>2017年10月</w:t>
            </w:r>
          </w:p>
        </w:tc>
        <w:tc>
          <w:tcPr>
            <w:tcW w:w="1278" w:type="pct"/>
            <w:vAlign w:val="top"/>
          </w:tcPr>
          <w:p>
            <w:pPr>
              <w:pStyle w:val="15"/>
              <w:spacing w:before="95"/>
              <w:ind w:left="493"/>
              <w:jc w:val="both"/>
              <w:rPr>
                <w:b/>
                <w:sz w:val="24"/>
              </w:rPr>
            </w:pPr>
            <w:r>
              <w:rPr>
                <w:b/>
                <w:sz w:val="24"/>
              </w:rPr>
              <w:t>开工建设时间</w:t>
            </w:r>
          </w:p>
        </w:tc>
        <w:tc>
          <w:tcPr>
            <w:tcW w:w="1668" w:type="pct"/>
            <w:gridSpan w:val="3"/>
            <w:vAlign w:val="center"/>
          </w:tcPr>
          <w:p>
            <w:pPr>
              <w:pStyle w:val="15"/>
              <w:spacing w:before="95"/>
              <w:jc w:val="center"/>
              <w:rPr>
                <w:rFonts w:hint="default" w:eastAsia="宋体"/>
                <w:sz w:val="24"/>
                <w:lang w:val="en-US" w:eastAsia="zh-CN"/>
              </w:rPr>
            </w:pPr>
            <w:r>
              <w:rPr>
                <w:rFonts w:hint="eastAsia"/>
                <w:sz w:val="24"/>
                <w:lang w:val="en-US" w:eastAsia="zh-CN"/>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1164" w:type="pct"/>
            <w:vAlign w:val="top"/>
          </w:tcPr>
          <w:p>
            <w:pPr>
              <w:pStyle w:val="15"/>
              <w:spacing w:before="87"/>
              <w:ind w:left="623"/>
              <w:jc w:val="both"/>
              <w:rPr>
                <w:b/>
                <w:sz w:val="24"/>
              </w:rPr>
            </w:pPr>
            <w:r>
              <w:rPr>
                <w:b/>
                <w:sz w:val="24"/>
              </w:rPr>
              <w:t>调试时间</w:t>
            </w:r>
          </w:p>
        </w:tc>
        <w:tc>
          <w:tcPr>
            <w:tcW w:w="889" w:type="pct"/>
            <w:vAlign w:val="center"/>
          </w:tcPr>
          <w:p>
            <w:pPr>
              <w:pStyle w:val="15"/>
              <w:spacing w:before="87"/>
              <w:ind w:left="9"/>
              <w:jc w:val="center"/>
              <w:rPr>
                <w:rFonts w:hint="default" w:eastAsia="宋体"/>
                <w:sz w:val="24"/>
                <w:lang w:val="en-US" w:eastAsia="zh-CN"/>
              </w:rPr>
            </w:pPr>
            <w:r>
              <w:rPr>
                <w:rFonts w:hint="eastAsia"/>
                <w:sz w:val="24"/>
                <w:lang w:val="en-US" w:eastAsia="zh-CN"/>
              </w:rPr>
              <w:t>2017年12月</w:t>
            </w:r>
          </w:p>
        </w:tc>
        <w:tc>
          <w:tcPr>
            <w:tcW w:w="1278" w:type="pct"/>
            <w:vAlign w:val="top"/>
          </w:tcPr>
          <w:p>
            <w:pPr>
              <w:pStyle w:val="15"/>
              <w:spacing w:before="87"/>
              <w:ind w:left="253"/>
              <w:jc w:val="both"/>
              <w:rPr>
                <w:b/>
                <w:sz w:val="24"/>
              </w:rPr>
            </w:pPr>
            <w:r>
              <w:rPr>
                <w:b/>
                <w:sz w:val="24"/>
              </w:rPr>
              <w:t>验收现场监测时间</w:t>
            </w:r>
          </w:p>
        </w:tc>
        <w:tc>
          <w:tcPr>
            <w:tcW w:w="1668" w:type="pct"/>
            <w:gridSpan w:val="3"/>
            <w:vAlign w:val="center"/>
          </w:tcPr>
          <w:p>
            <w:pPr>
              <w:pStyle w:val="15"/>
              <w:spacing w:before="87"/>
              <w:jc w:val="center"/>
              <w:rPr>
                <w:rFonts w:hint="default" w:eastAsia="宋体"/>
                <w:sz w:val="24"/>
                <w:lang w:val="en-US" w:eastAsia="zh-CN"/>
              </w:rPr>
            </w:pPr>
            <w:r>
              <w:rPr>
                <w:rFonts w:hint="eastAsia"/>
                <w:sz w:val="24"/>
                <w:lang w:val="en-US" w:eastAsia="zh-CN"/>
              </w:rPr>
              <w:t>2021年12月6日-2021年12月7日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1164" w:type="pct"/>
            <w:vAlign w:val="top"/>
          </w:tcPr>
          <w:p>
            <w:pPr>
              <w:pStyle w:val="15"/>
              <w:spacing w:before="10"/>
              <w:jc w:val="both"/>
              <w:rPr>
                <w:sz w:val="21"/>
              </w:rPr>
            </w:pPr>
          </w:p>
          <w:p>
            <w:pPr>
              <w:pStyle w:val="15"/>
              <w:ind w:left="143"/>
              <w:jc w:val="both"/>
              <w:rPr>
                <w:b/>
                <w:sz w:val="24"/>
              </w:rPr>
            </w:pPr>
            <w:r>
              <w:rPr>
                <w:b/>
                <w:sz w:val="24"/>
              </w:rPr>
              <w:t>环评报告审批部门</w:t>
            </w:r>
          </w:p>
        </w:tc>
        <w:tc>
          <w:tcPr>
            <w:tcW w:w="889" w:type="pct"/>
            <w:vAlign w:val="center"/>
          </w:tcPr>
          <w:p>
            <w:pPr>
              <w:pStyle w:val="15"/>
              <w:spacing w:before="123" w:line="242" w:lineRule="auto"/>
              <w:ind w:left="123" w:right="112"/>
              <w:jc w:val="center"/>
              <w:rPr>
                <w:rFonts w:hint="default" w:eastAsia="宋体"/>
                <w:sz w:val="24"/>
                <w:lang w:val="en-US" w:eastAsia="zh-CN"/>
              </w:rPr>
            </w:pPr>
            <w:r>
              <w:rPr>
                <w:rFonts w:hint="eastAsia"/>
                <w:sz w:val="24"/>
                <w:lang w:val="en-US" w:eastAsia="zh-CN"/>
              </w:rPr>
              <w:t>贵州双龙航空港经济区生态建设管理局</w:t>
            </w:r>
          </w:p>
        </w:tc>
        <w:tc>
          <w:tcPr>
            <w:tcW w:w="1278" w:type="pct"/>
            <w:vAlign w:val="top"/>
          </w:tcPr>
          <w:p>
            <w:pPr>
              <w:pStyle w:val="15"/>
              <w:spacing w:before="10"/>
              <w:jc w:val="both"/>
              <w:rPr>
                <w:sz w:val="21"/>
              </w:rPr>
            </w:pPr>
          </w:p>
          <w:p>
            <w:pPr>
              <w:pStyle w:val="15"/>
              <w:ind w:left="253"/>
              <w:jc w:val="both"/>
              <w:rPr>
                <w:b/>
                <w:sz w:val="24"/>
              </w:rPr>
            </w:pPr>
            <w:r>
              <w:rPr>
                <w:b/>
                <w:sz w:val="24"/>
              </w:rPr>
              <w:t>环评报告编制单位</w:t>
            </w:r>
          </w:p>
        </w:tc>
        <w:tc>
          <w:tcPr>
            <w:tcW w:w="1668" w:type="pct"/>
            <w:gridSpan w:val="3"/>
            <w:vAlign w:val="center"/>
          </w:tcPr>
          <w:p>
            <w:pPr>
              <w:pStyle w:val="15"/>
              <w:jc w:val="center"/>
              <w:rPr>
                <w:sz w:val="24"/>
              </w:rPr>
            </w:pPr>
            <w:r>
              <w:rPr>
                <w:rFonts w:hint="default" w:ascii="Times New Roman" w:hAnsi="Times New Roman" w:cs="Times New Roman"/>
                <w:spacing w:val="-5"/>
                <w:sz w:val="24"/>
                <w:lang w:val="en-US" w:eastAsia="zh-CN"/>
              </w:rPr>
              <w:t>深圳市环新环保技术有限公司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1164" w:type="pct"/>
            <w:vAlign w:val="top"/>
          </w:tcPr>
          <w:p>
            <w:pPr>
              <w:pStyle w:val="15"/>
              <w:spacing w:before="155"/>
              <w:ind w:left="143"/>
              <w:jc w:val="both"/>
              <w:rPr>
                <w:b/>
                <w:sz w:val="24"/>
              </w:rPr>
            </w:pPr>
            <w:r>
              <w:rPr>
                <w:b/>
                <w:sz w:val="24"/>
              </w:rPr>
              <w:t>环保设施设计单位</w:t>
            </w:r>
          </w:p>
        </w:tc>
        <w:tc>
          <w:tcPr>
            <w:tcW w:w="889" w:type="pct"/>
            <w:vAlign w:val="center"/>
          </w:tcPr>
          <w:p>
            <w:pPr>
              <w:pStyle w:val="15"/>
              <w:spacing w:before="3" w:line="291" w:lineRule="exact"/>
              <w:ind w:left="123"/>
              <w:jc w:val="center"/>
              <w:rPr>
                <w:rFonts w:hint="default" w:eastAsia="宋体"/>
                <w:sz w:val="24"/>
                <w:lang w:val="en-US" w:eastAsia="zh-CN"/>
              </w:rPr>
            </w:pPr>
            <w:r>
              <w:rPr>
                <w:rFonts w:hint="eastAsia"/>
                <w:sz w:val="24"/>
                <w:lang w:val="en-US" w:eastAsia="zh-CN"/>
              </w:rPr>
              <w:t>贵州宝信捷投资有限公司</w:t>
            </w:r>
          </w:p>
        </w:tc>
        <w:tc>
          <w:tcPr>
            <w:tcW w:w="1278" w:type="pct"/>
            <w:vAlign w:val="top"/>
          </w:tcPr>
          <w:p>
            <w:pPr>
              <w:pStyle w:val="15"/>
              <w:spacing w:before="155"/>
              <w:ind w:left="253"/>
              <w:jc w:val="both"/>
              <w:rPr>
                <w:b/>
                <w:sz w:val="24"/>
              </w:rPr>
            </w:pPr>
            <w:r>
              <w:rPr>
                <w:b/>
                <w:sz w:val="24"/>
              </w:rPr>
              <w:t>环保设施施工单位</w:t>
            </w:r>
          </w:p>
        </w:tc>
        <w:tc>
          <w:tcPr>
            <w:tcW w:w="1668" w:type="pct"/>
            <w:gridSpan w:val="3"/>
            <w:vAlign w:val="center"/>
          </w:tcPr>
          <w:p>
            <w:pPr>
              <w:pStyle w:val="15"/>
              <w:spacing w:before="155"/>
              <w:jc w:val="center"/>
              <w:rPr>
                <w:rFonts w:hint="eastAsia" w:eastAsia="宋体"/>
                <w:sz w:val="24"/>
                <w:lang w:val="en-US" w:eastAsia="zh-CN"/>
              </w:rPr>
            </w:pPr>
            <w:r>
              <w:rPr>
                <w:rFonts w:hint="eastAsia"/>
                <w:sz w:val="24"/>
                <w:lang w:val="en-US" w:eastAsia="zh-CN"/>
              </w:rPr>
              <w:t>贵州宝信捷投资有限公司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164" w:type="pct"/>
            <w:vAlign w:val="top"/>
          </w:tcPr>
          <w:p>
            <w:pPr>
              <w:pStyle w:val="15"/>
              <w:spacing w:before="67"/>
              <w:ind w:left="110" w:right="-29"/>
              <w:jc w:val="both"/>
              <w:rPr>
                <w:b/>
                <w:sz w:val="24"/>
              </w:rPr>
            </w:pPr>
            <w:r>
              <w:rPr>
                <w:b/>
                <w:spacing w:val="-11"/>
                <w:sz w:val="24"/>
              </w:rPr>
              <w:t>投资总概算</w:t>
            </w:r>
            <w:r>
              <w:rPr>
                <w:b/>
                <w:sz w:val="24"/>
              </w:rPr>
              <w:t>（万元</w:t>
            </w:r>
            <w:r>
              <w:rPr>
                <w:b/>
                <w:spacing w:val="-10"/>
                <w:sz w:val="24"/>
              </w:rPr>
              <w:t>）</w:t>
            </w:r>
          </w:p>
        </w:tc>
        <w:tc>
          <w:tcPr>
            <w:tcW w:w="889" w:type="pct"/>
            <w:vAlign w:val="center"/>
          </w:tcPr>
          <w:p>
            <w:pPr>
              <w:pStyle w:val="15"/>
              <w:spacing w:before="67"/>
              <w:ind w:left="223" w:right="214"/>
              <w:jc w:val="center"/>
              <w:rPr>
                <w:rFonts w:hint="default" w:eastAsia="宋体"/>
                <w:sz w:val="24"/>
                <w:lang w:val="en-US" w:eastAsia="zh-CN"/>
              </w:rPr>
            </w:pPr>
            <w:r>
              <w:rPr>
                <w:rFonts w:hint="eastAsia"/>
                <w:sz w:val="24"/>
                <w:lang w:val="en-US" w:eastAsia="zh-CN"/>
              </w:rPr>
              <w:t>300</w:t>
            </w:r>
          </w:p>
        </w:tc>
        <w:tc>
          <w:tcPr>
            <w:tcW w:w="1278" w:type="pct"/>
            <w:vAlign w:val="top"/>
          </w:tcPr>
          <w:p>
            <w:pPr>
              <w:pStyle w:val="15"/>
              <w:spacing w:before="67"/>
              <w:ind w:left="253"/>
              <w:jc w:val="both"/>
              <w:rPr>
                <w:b/>
                <w:sz w:val="24"/>
              </w:rPr>
            </w:pPr>
            <w:r>
              <w:rPr>
                <w:b/>
                <w:sz w:val="24"/>
              </w:rPr>
              <w:t>环保投资（万元）</w:t>
            </w:r>
          </w:p>
        </w:tc>
        <w:tc>
          <w:tcPr>
            <w:tcW w:w="795" w:type="pct"/>
            <w:vAlign w:val="center"/>
          </w:tcPr>
          <w:p>
            <w:pPr>
              <w:pStyle w:val="15"/>
              <w:spacing w:before="67"/>
              <w:jc w:val="center"/>
              <w:rPr>
                <w:rFonts w:hint="eastAsia" w:eastAsia="宋体"/>
                <w:sz w:val="24"/>
                <w:lang w:val="en-US" w:eastAsia="zh-CN"/>
              </w:rPr>
            </w:pPr>
            <w:r>
              <w:rPr>
                <w:rFonts w:hint="eastAsia"/>
                <w:sz w:val="24"/>
                <w:lang w:val="en-US" w:eastAsia="zh-CN"/>
              </w:rPr>
              <w:t>9</w:t>
            </w:r>
          </w:p>
        </w:tc>
        <w:tc>
          <w:tcPr>
            <w:tcW w:w="398" w:type="pct"/>
            <w:vAlign w:val="center"/>
          </w:tcPr>
          <w:p>
            <w:pPr>
              <w:pStyle w:val="15"/>
              <w:spacing w:before="67"/>
              <w:ind w:left="122" w:right="105"/>
              <w:jc w:val="center"/>
              <w:rPr>
                <w:b/>
                <w:sz w:val="24"/>
              </w:rPr>
            </w:pPr>
            <w:r>
              <w:rPr>
                <w:b/>
                <w:sz w:val="24"/>
              </w:rPr>
              <w:t>比例</w:t>
            </w:r>
          </w:p>
        </w:tc>
        <w:tc>
          <w:tcPr>
            <w:tcW w:w="475" w:type="pct"/>
            <w:vAlign w:val="center"/>
          </w:tcPr>
          <w:p>
            <w:pPr>
              <w:pStyle w:val="15"/>
              <w:spacing w:before="83"/>
              <w:jc w:val="center"/>
              <w:rPr>
                <w:rFonts w:hint="default" w:ascii="Times New Roman" w:eastAsia="宋体"/>
                <w:sz w:val="24"/>
                <w:lang w:val="en-US" w:eastAsia="zh-CN"/>
              </w:rPr>
            </w:pPr>
            <w:r>
              <w:rPr>
                <w:rFonts w:hint="eastAsia" w:ascii="Times New Roman"/>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8" w:hRule="atLeast"/>
        </w:trPr>
        <w:tc>
          <w:tcPr>
            <w:tcW w:w="1164" w:type="pct"/>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3"/>
              <w:rPr>
                <w:sz w:val="31"/>
              </w:rPr>
            </w:pPr>
          </w:p>
          <w:p>
            <w:pPr>
              <w:pStyle w:val="15"/>
              <w:ind w:left="383"/>
              <w:rPr>
                <w:b/>
                <w:sz w:val="24"/>
              </w:rPr>
            </w:pPr>
            <w:r>
              <w:rPr>
                <w:b/>
                <w:sz w:val="24"/>
              </w:rPr>
              <w:t>验收监测依据</w:t>
            </w:r>
          </w:p>
        </w:tc>
        <w:tc>
          <w:tcPr>
            <w:tcW w:w="3835" w:type="pct"/>
            <w:gridSpan w:val="5"/>
          </w:tcPr>
          <w:p>
            <w:pPr>
              <w:pStyle w:val="15"/>
              <w:spacing w:before="118"/>
              <w:ind w:left="108"/>
              <w:rPr>
                <w:sz w:val="24"/>
              </w:rPr>
            </w:pPr>
            <w:r>
              <w:rPr>
                <w:rFonts w:ascii="Times New Roman" w:eastAsia="Times New Roman"/>
                <w:sz w:val="24"/>
              </w:rPr>
              <w:t>1</w:t>
            </w:r>
            <w:r>
              <w:rPr>
                <w:sz w:val="24"/>
              </w:rPr>
              <w:t>、《中华人民共和国环境保护法》，</w:t>
            </w:r>
            <w:r>
              <w:rPr>
                <w:rFonts w:ascii="Times New Roman" w:eastAsia="Times New Roman"/>
                <w:sz w:val="24"/>
              </w:rPr>
              <w:t xml:space="preserve">2015 </w:t>
            </w:r>
            <w:r>
              <w:rPr>
                <w:sz w:val="24"/>
              </w:rPr>
              <w:t xml:space="preserve">年 </w:t>
            </w:r>
            <w:r>
              <w:rPr>
                <w:rFonts w:ascii="Times New Roman" w:eastAsia="Times New Roman"/>
                <w:sz w:val="24"/>
              </w:rPr>
              <w:t xml:space="preserve">1 </w:t>
            </w:r>
            <w:r>
              <w:rPr>
                <w:sz w:val="24"/>
              </w:rPr>
              <w:t>月；</w:t>
            </w:r>
          </w:p>
          <w:p>
            <w:pPr>
              <w:pStyle w:val="15"/>
              <w:spacing w:before="160"/>
              <w:ind w:left="108"/>
              <w:rPr>
                <w:rFonts w:ascii="Times New Roman" w:eastAsia="Times New Roman"/>
                <w:sz w:val="24"/>
              </w:rPr>
            </w:pPr>
            <w:r>
              <w:rPr>
                <w:rFonts w:ascii="Times New Roman" w:eastAsia="Times New Roman"/>
                <w:sz w:val="24"/>
              </w:rPr>
              <w:t>2</w:t>
            </w:r>
            <w:r>
              <w:rPr>
                <w:spacing w:val="-8"/>
                <w:sz w:val="24"/>
              </w:rPr>
              <w:t>、《中华人民共和国水污染防治法》</w:t>
            </w:r>
            <w:r>
              <w:rPr>
                <w:sz w:val="24"/>
              </w:rPr>
              <w:t>（</w:t>
            </w:r>
            <w:r>
              <w:rPr>
                <w:spacing w:val="-5"/>
                <w:sz w:val="24"/>
              </w:rPr>
              <w:t xml:space="preserve">中华人民共和国主席令第 </w:t>
            </w:r>
            <w:r>
              <w:rPr>
                <w:rFonts w:ascii="Times New Roman" w:eastAsia="Times New Roman"/>
                <w:sz w:val="24"/>
              </w:rPr>
              <w:t>70</w:t>
            </w:r>
          </w:p>
          <w:p>
            <w:pPr>
              <w:pStyle w:val="15"/>
              <w:spacing w:before="159"/>
              <w:ind w:left="108"/>
              <w:rPr>
                <w:sz w:val="24"/>
              </w:rPr>
            </w:pPr>
            <w:r>
              <w:rPr>
                <w:sz w:val="24"/>
              </w:rPr>
              <w:t>号，</w:t>
            </w:r>
            <w:r>
              <w:rPr>
                <w:rFonts w:ascii="Times New Roman" w:eastAsia="Times New Roman"/>
                <w:sz w:val="24"/>
              </w:rPr>
              <w:t xml:space="preserve">2018 </w:t>
            </w:r>
            <w:r>
              <w:rPr>
                <w:sz w:val="24"/>
              </w:rPr>
              <w:t xml:space="preserve">年 </w:t>
            </w:r>
            <w:r>
              <w:rPr>
                <w:rFonts w:ascii="Times New Roman" w:eastAsia="Times New Roman"/>
                <w:sz w:val="24"/>
              </w:rPr>
              <w:t xml:space="preserve">1 </w:t>
            </w:r>
            <w:r>
              <w:rPr>
                <w:sz w:val="24"/>
              </w:rPr>
              <w:t xml:space="preserve">月 </w:t>
            </w:r>
            <w:r>
              <w:rPr>
                <w:rFonts w:ascii="Times New Roman" w:eastAsia="Times New Roman"/>
                <w:sz w:val="24"/>
              </w:rPr>
              <w:t xml:space="preserve">1 </w:t>
            </w:r>
            <w:r>
              <w:rPr>
                <w:sz w:val="24"/>
              </w:rPr>
              <w:t>施行）；</w:t>
            </w:r>
          </w:p>
          <w:p>
            <w:pPr>
              <w:pStyle w:val="15"/>
              <w:spacing w:before="159"/>
              <w:ind w:left="108"/>
              <w:rPr>
                <w:sz w:val="24"/>
              </w:rPr>
            </w:pPr>
            <w:r>
              <w:rPr>
                <w:rFonts w:ascii="Times New Roman" w:eastAsia="Times New Roman"/>
                <w:sz w:val="24"/>
              </w:rPr>
              <w:t>3</w:t>
            </w:r>
            <w:r>
              <w:rPr>
                <w:sz w:val="24"/>
              </w:rPr>
              <w:t>、《中华人民共和国大气污染防治法》，</w:t>
            </w:r>
            <w:r>
              <w:rPr>
                <w:rFonts w:ascii="Times New Roman" w:eastAsia="Times New Roman"/>
                <w:sz w:val="24"/>
              </w:rPr>
              <w:t xml:space="preserve">2018 </w:t>
            </w:r>
            <w:r>
              <w:rPr>
                <w:sz w:val="24"/>
              </w:rPr>
              <w:t xml:space="preserve">年 </w:t>
            </w:r>
            <w:r>
              <w:rPr>
                <w:rFonts w:ascii="Times New Roman" w:eastAsia="Times New Roman"/>
                <w:sz w:val="24"/>
              </w:rPr>
              <w:t xml:space="preserve">10 </w:t>
            </w:r>
            <w:r>
              <w:rPr>
                <w:sz w:val="24"/>
              </w:rPr>
              <w:t xml:space="preserve">月 </w:t>
            </w:r>
            <w:r>
              <w:rPr>
                <w:rFonts w:ascii="Times New Roman" w:eastAsia="Times New Roman"/>
                <w:sz w:val="24"/>
              </w:rPr>
              <w:t xml:space="preserve">26 </w:t>
            </w:r>
            <w:r>
              <w:rPr>
                <w:sz w:val="24"/>
              </w:rPr>
              <w:t>日；</w:t>
            </w:r>
          </w:p>
          <w:p>
            <w:pPr>
              <w:pStyle w:val="15"/>
              <w:spacing w:before="159"/>
              <w:ind w:left="108"/>
              <w:rPr>
                <w:sz w:val="24"/>
              </w:rPr>
            </w:pPr>
            <w:r>
              <w:rPr>
                <w:rFonts w:ascii="Times New Roman" w:eastAsia="Times New Roman"/>
                <w:sz w:val="24"/>
              </w:rPr>
              <w:t>4</w:t>
            </w: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w:t>
            </w:r>
          </w:p>
          <w:p>
            <w:pPr>
              <w:pStyle w:val="15"/>
              <w:spacing w:before="160"/>
              <w:ind w:left="108"/>
              <w:rPr>
                <w:sz w:val="24"/>
              </w:rPr>
            </w:pPr>
            <w:r>
              <w:rPr>
                <w:rFonts w:ascii="Times New Roman" w:eastAsia="Times New Roman"/>
                <w:sz w:val="24"/>
              </w:rPr>
              <w:t>5</w:t>
            </w:r>
            <w:r>
              <w:rPr>
                <w:spacing w:val="-8"/>
                <w:sz w:val="24"/>
              </w:rPr>
              <w:t>、《中华人民共和国固体废物污染防治法》，</w:t>
            </w:r>
            <w:r>
              <w:rPr>
                <w:spacing w:val="-7"/>
                <w:sz w:val="24"/>
              </w:rPr>
              <w:t>（</w:t>
            </w:r>
            <w:r>
              <w:rPr>
                <w:rFonts w:ascii="Times New Roman" w:eastAsia="Times New Roman"/>
                <w:spacing w:val="-7"/>
                <w:sz w:val="24"/>
              </w:rPr>
              <w:t xml:space="preserve">2020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1 </w:t>
            </w:r>
            <w:r>
              <w:rPr>
                <w:sz w:val="24"/>
              </w:rPr>
              <w:t>日）</w:t>
            </w:r>
          </w:p>
          <w:p>
            <w:pPr>
              <w:pStyle w:val="15"/>
              <w:spacing w:before="160" w:line="364" w:lineRule="auto"/>
              <w:ind w:left="108" w:right="16"/>
              <w:rPr>
                <w:sz w:val="24"/>
              </w:rPr>
            </w:pPr>
            <w:r>
              <w:rPr>
                <w:rFonts w:ascii="Times New Roman" w:eastAsia="Times New Roman"/>
                <w:sz w:val="24"/>
              </w:rPr>
              <w:t>6</w:t>
            </w:r>
            <w:r>
              <w:rPr>
                <w:sz w:val="24"/>
              </w:rPr>
              <w:t xml:space="preserve">、国务院令第 </w:t>
            </w:r>
            <w:r>
              <w:rPr>
                <w:rFonts w:ascii="Times New Roman" w:eastAsia="Times New Roman"/>
                <w:sz w:val="24"/>
              </w:rPr>
              <w:t xml:space="preserve">682 </w:t>
            </w:r>
            <w:r>
              <w:rPr>
                <w:sz w:val="24"/>
              </w:rPr>
              <w:t>号《国务院关于修改〈建设项目环境保护管理条例〉的决定》；</w:t>
            </w:r>
          </w:p>
          <w:p>
            <w:pPr>
              <w:pStyle w:val="15"/>
              <w:spacing w:line="306" w:lineRule="exact"/>
              <w:ind w:left="108" w:right="-29"/>
              <w:rPr>
                <w:sz w:val="24"/>
              </w:rPr>
            </w:pPr>
            <w:r>
              <w:rPr>
                <w:rFonts w:ascii="Times New Roman" w:eastAsia="Times New Roman"/>
                <w:sz w:val="24"/>
              </w:rPr>
              <w:t>7</w:t>
            </w:r>
            <w:r>
              <w:rPr>
                <w:spacing w:val="-14"/>
                <w:sz w:val="24"/>
              </w:rPr>
              <w:t>、《关于规范建设单位自主开展建设项目竣工环境保护验收的通知》</w:t>
            </w:r>
          </w:p>
          <w:p>
            <w:pPr>
              <w:pStyle w:val="15"/>
              <w:spacing w:before="158"/>
              <w:ind w:left="108"/>
              <w:rPr>
                <w:sz w:val="24"/>
              </w:rPr>
            </w:pPr>
            <w:r>
              <w:rPr>
                <w:sz w:val="24"/>
              </w:rPr>
              <w:t>（环办环评函〔</w:t>
            </w:r>
            <w:r>
              <w:rPr>
                <w:rFonts w:ascii="Times New Roman" w:eastAsia="Times New Roman"/>
                <w:sz w:val="24"/>
              </w:rPr>
              <w:t>2017</w:t>
            </w:r>
            <w:r>
              <w:rPr>
                <w:sz w:val="24"/>
              </w:rPr>
              <w:t>〕</w:t>
            </w:r>
            <w:r>
              <w:rPr>
                <w:rFonts w:ascii="Times New Roman" w:eastAsia="Times New Roman"/>
                <w:sz w:val="24"/>
              </w:rPr>
              <w:t xml:space="preserve">1235 </w:t>
            </w:r>
            <w:r>
              <w:rPr>
                <w:sz w:val="24"/>
              </w:rPr>
              <w:t>号）；</w:t>
            </w:r>
          </w:p>
          <w:p>
            <w:pPr>
              <w:pStyle w:val="15"/>
              <w:spacing w:before="160"/>
              <w:ind w:left="108"/>
              <w:rPr>
                <w:sz w:val="24"/>
              </w:rPr>
            </w:pPr>
            <w:r>
              <w:rPr>
                <w:rFonts w:ascii="Times New Roman" w:eastAsia="Times New Roman"/>
                <w:sz w:val="24"/>
              </w:rPr>
              <w:t>8</w:t>
            </w:r>
            <w:r>
              <w:rPr>
                <w:sz w:val="24"/>
              </w:rPr>
              <w:t>、《建设项目竣工环境保护验收暂行办法》（国环规环评〔</w:t>
            </w:r>
            <w:r>
              <w:rPr>
                <w:rFonts w:ascii="Times New Roman" w:eastAsia="Times New Roman"/>
                <w:sz w:val="24"/>
              </w:rPr>
              <w:t>2017</w:t>
            </w:r>
            <w:r>
              <w:rPr>
                <w:sz w:val="24"/>
              </w:rPr>
              <w:t>〕</w:t>
            </w:r>
          </w:p>
          <w:p>
            <w:pPr>
              <w:pStyle w:val="15"/>
              <w:spacing w:before="160"/>
              <w:ind w:left="108"/>
              <w:rPr>
                <w:sz w:val="24"/>
              </w:rPr>
            </w:pPr>
            <w:r>
              <w:rPr>
                <w:rFonts w:ascii="Times New Roman" w:eastAsia="Times New Roman"/>
                <w:sz w:val="24"/>
              </w:rPr>
              <w:t xml:space="preserve">4 </w:t>
            </w:r>
            <w:r>
              <w:rPr>
                <w:sz w:val="24"/>
              </w:rPr>
              <w:t>号）；</w:t>
            </w:r>
          </w:p>
          <w:p>
            <w:pPr>
              <w:pStyle w:val="15"/>
              <w:spacing w:before="159"/>
              <w:ind w:left="108"/>
              <w:rPr>
                <w:sz w:val="24"/>
              </w:rPr>
            </w:pPr>
            <w:r>
              <w:rPr>
                <w:rFonts w:ascii="Times New Roman" w:eastAsia="Times New Roman"/>
                <w:sz w:val="24"/>
              </w:rPr>
              <w:t>9</w:t>
            </w:r>
            <w:r>
              <w:rPr>
                <w:sz w:val="24"/>
              </w:rPr>
              <w:t>、《建设项目竣工环境保护验收技术指南 污染影响类》的公告，</w:t>
            </w:r>
          </w:p>
        </w:tc>
      </w:tr>
    </w:tbl>
    <w:p/>
    <w:p/>
    <w:p/>
    <w:tbl>
      <w:tblPr>
        <w:tblStyle w:val="10"/>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97"/>
        <w:gridCol w:w="7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3" w:hRule="atLeast"/>
        </w:trPr>
        <w:tc>
          <w:tcPr>
            <w:tcW w:w="2197" w:type="dxa"/>
          </w:tcPr>
          <w:p>
            <w:pPr>
              <w:pStyle w:val="15"/>
              <w:rPr>
                <w:rFonts w:ascii="Times New Roman"/>
                <w:sz w:val="22"/>
              </w:rPr>
            </w:pPr>
          </w:p>
        </w:tc>
        <w:tc>
          <w:tcPr>
            <w:tcW w:w="7242" w:type="dxa"/>
          </w:tcPr>
          <w:p>
            <w:pPr>
              <w:pStyle w:val="15"/>
              <w:spacing w:before="1"/>
              <w:ind w:left="108"/>
              <w:rPr>
                <w:sz w:val="24"/>
              </w:rPr>
            </w:pPr>
            <w:r>
              <w:rPr>
                <w:sz w:val="24"/>
              </w:rPr>
              <w:t xml:space="preserve">（公告 </w:t>
            </w:r>
            <w:r>
              <w:rPr>
                <w:rFonts w:ascii="Times New Roman" w:eastAsia="Times New Roman"/>
                <w:sz w:val="24"/>
              </w:rPr>
              <w:t xml:space="preserve">2018 </w:t>
            </w:r>
            <w:r>
              <w:rPr>
                <w:sz w:val="24"/>
              </w:rPr>
              <w:t xml:space="preserve">年 第 </w:t>
            </w:r>
            <w:r>
              <w:rPr>
                <w:rFonts w:ascii="Times New Roman" w:eastAsia="Times New Roman"/>
                <w:sz w:val="24"/>
              </w:rPr>
              <w:t xml:space="preserve">9 </w:t>
            </w:r>
            <w:r>
              <w:rPr>
                <w:sz w:val="24"/>
              </w:rPr>
              <w:t>号）；</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10、</w:t>
            </w:r>
            <w:r>
              <w:rPr>
                <w:rFonts w:hint="default" w:ascii="Times New Roman" w:hAnsi="Times New Roman" w:cs="Times New Roman"/>
                <w:spacing w:val="-5"/>
                <w:sz w:val="24"/>
              </w:rPr>
              <w:t>《建设项目环境保护管理条例》</w:t>
            </w:r>
            <w:r>
              <w:rPr>
                <w:rFonts w:hint="eastAsia" w:ascii="Times New Roman" w:hAnsi="Times New Roman" w:cs="Times New Roman"/>
                <w:spacing w:val="-5"/>
                <w:sz w:val="24"/>
                <w:lang w:eastAsia="zh-CN"/>
              </w:rPr>
              <w:t>（</w:t>
            </w:r>
            <w:r>
              <w:rPr>
                <w:rFonts w:hint="eastAsia" w:ascii="Times New Roman" w:hAnsi="Times New Roman" w:cs="Times New Roman"/>
                <w:spacing w:val="-5"/>
                <w:sz w:val="24"/>
                <w:lang w:val="en-US" w:eastAsia="zh-CN"/>
              </w:rPr>
              <w:t>国务院令第682号</w:t>
            </w:r>
            <w:r>
              <w:rPr>
                <w:rFonts w:hint="default" w:ascii="Times New Roman" w:hAnsi="Times New Roman" w:cs="Times New Roman"/>
                <w:spacing w:val="-5"/>
                <w:sz w:val="24"/>
              </w:rPr>
              <w:t>，</w:t>
            </w:r>
            <w:r>
              <w:rPr>
                <w:rFonts w:hint="eastAsia" w:ascii="Times New Roman" w:hAnsi="Times New Roman" w:cs="Times New Roman"/>
                <w:spacing w:val="-5"/>
                <w:sz w:val="24"/>
                <w:lang w:val="en-US" w:eastAsia="zh-CN"/>
              </w:rPr>
              <w:t>2017</w:t>
            </w:r>
            <w:r>
              <w:rPr>
                <w:rFonts w:hint="default" w:ascii="Times New Roman" w:hAnsi="Times New Roman" w:cs="Times New Roman"/>
                <w:spacing w:val="-5"/>
                <w:sz w:val="24"/>
              </w:rPr>
              <w:t xml:space="preserve"> 年 </w:t>
            </w:r>
            <w:r>
              <w:rPr>
                <w:rFonts w:hint="eastAsia" w:ascii="Times New Roman" w:hAnsi="Times New Roman" w:cs="Times New Roman"/>
                <w:spacing w:val="-5"/>
                <w:sz w:val="24"/>
                <w:lang w:val="en-US" w:eastAsia="zh-CN"/>
              </w:rPr>
              <w:t>07</w:t>
            </w:r>
            <w:r>
              <w:rPr>
                <w:rFonts w:hint="default" w:ascii="Times New Roman" w:hAnsi="Times New Roman" w:cs="Times New Roman"/>
                <w:spacing w:val="-5"/>
                <w:sz w:val="24"/>
              </w:rPr>
              <w:t xml:space="preserve"> 月</w:t>
            </w:r>
            <w:r>
              <w:rPr>
                <w:rFonts w:hint="eastAsia" w:ascii="Times New Roman" w:hAnsi="Times New Roman" w:cs="Times New Roman"/>
                <w:spacing w:val="-5"/>
                <w:sz w:val="24"/>
                <w:lang w:val="en-US" w:eastAsia="zh-CN"/>
              </w:rPr>
              <w:t>16日）</w:t>
            </w:r>
            <w:r>
              <w:rPr>
                <w:rFonts w:hint="default" w:ascii="Times New Roman" w:hAnsi="Times New Roman" w:cs="Times New Roman"/>
                <w:spacing w:val="-5"/>
                <w:sz w:val="24"/>
              </w:rPr>
              <w:t xml:space="preserve">； </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11、</w:t>
            </w:r>
            <w:r>
              <w:rPr>
                <w:rFonts w:hint="eastAsia" w:ascii="Times New Roman" w:hAnsi="Times New Roman" w:cs="Times New Roman"/>
                <w:spacing w:val="-5"/>
                <w:sz w:val="24"/>
                <w:lang w:eastAsia="zh-CN"/>
              </w:rPr>
              <w:t>《</w:t>
            </w:r>
            <w:r>
              <w:rPr>
                <w:rFonts w:hint="eastAsia" w:ascii="Times New Roman" w:hAnsi="Times New Roman" w:cs="Times New Roman"/>
                <w:spacing w:val="-5"/>
                <w:sz w:val="24"/>
                <w:lang w:val="en-US" w:eastAsia="zh-CN"/>
              </w:rPr>
              <w:t>建设项目竣工环境保护验收暂行办法</w:t>
            </w:r>
            <w:r>
              <w:rPr>
                <w:rFonts w:hint="eastAsia" w:ascii="Times New Roman" w:hAnsi="Times New Roman" w:cs="Times New Roman"/>
                <w:spacing w:val="-5"/>
                <w:sz w:val="24"/>
                <w:lang w:eastAsia="zh-CN"/>
              </w:rPr>
              <w:t>》（</w:t>
            </w:r>
            <w:r>
              <w:rPr>
                <w:rFonts w:hint="eastAsia" w:ascii="Times New Roman" w:hAnsi="Times New Roman" w:cs="Times New Roman"/>
                <w:spacing w:val="-5"/>
                <w:sz w:val="24"/>
                <w:lang w:val="en-US" w:eastAsia="zh-CN"/>
              </w:rPr>
              <w:t>国环规环评[2017]4号，2017</w:t>
            </w:r>
            <w:r>
              <w:rPr>
                <w:rFonts w:hint="default" w:ascii="Times New Roman" w:hAnsi="Times New Roman" w:cs="Times New Roman"/>
                <w:spacing w:val="-5"/>
                <w:sz w:val="24"/>
              </w:rPr>
              <w:t xml:space="preserve"> 年 </w:t>
            </w:r>
            <w:r>
              <w:rPr>
                <w:rFonts w:hint="eastAsia" w:ascii="Times New Roman" w:hAnsi="Times New Roman" w:cs="Times New Roman"/>
                <w:spacing w:val="-5"/>
                <w:sz w:val="24"/>
                <w:lang w:val="en-US" w:eastAsia="zh-CN"/>
              </w:rPr>
              <w:t>11</w:t>
            </w:r>
            <w:r>
              <w:rPr>
                <w:rFonts w:hint="default" w:ascii="Times New Roman" w:hAnsi="Times New Roman" w:cs="Times New Roman"/>
                <w:spacing w:val="-5"/>
                <w:sz w:val="24"/>
              </w:rPr>
              <w:t xml:space="preserve"> 月</w:t>
            </w:r>
            <w:r>
              <w:rPr>
                <w:rFonts w:hint="eastAsia" w:ascii="Times New Roman" w:hAnsi="Times New Roman" w:cs="Times New Roman"/>
                <w:spacing w:val="-5"/>
                <w:sz w:val="24"/>
                <w:lang w:val="en-US" w:eastAsia="zh-CN"/>
              </w:rPr>
              <w:t>20日</w:t>
            </w:r>
            <w:r>
              <w:rPr>
                <w:rFonts w:hint="eastAsia" w:ascii="Times New Roman" w:hAnsi="Times New Roman" w:cs="Times New Roman"/>
                <w:spacing w:val="-5"/>
                <w:sz w:val="24"/>
                <w:lang w:eastAsia="zh-CN"/>
              </w:rPr>
              <w:t>）</w:t>
            </w:r>
            <w:r>
              <w:rPr>
                <w:rFonts w:hint="default" w:ascii="Times New Roman" w:hAnsi="Times New Roman" w:cs="Times New Roman"/>
                <w:spacing w:val="-5"/>
                <w:sz w:val="24"/>
              </w:rPr>
              <w:t>；</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12、环境保护部办公厅函《关于公开征求《</w:t>
            </w:r>
            <w:r>
              <w:rPr>
                <w:rFonts w:ascii="宋体" w:hAnsi="宋体" w:eastAsia="宋体" w:cs="宋体"/>
                <w:sz w:val="24"/>
                <w:szCs w:val="24"/>
              </w:rPr>
              <w:t>建设项目竣工环境保护验收技术指南 污染影响</w:t>
            </w:r>
            <w:r>
              <w:rPr>
                <w:rFonts w:hint="eastAsia" w:cs="宋体"/>
                <w:sz w:val="24"/>
                <w:szCs w:val="24"/>
                <w:lang w:val="en-US" w:eastAsia="zh-CN"/>
              </w:rPr>
              <w:t>类（征求意见稿）》意见的通知</w:t>
            </w:r>
            <w:r>
              <w:rPr>
                <w:rFonts w:hint="eastAsia" w:ascii="Times New Roman" w:hAnsi="Times New Roman" w:cs="Times New Roman"/>
                <w:spacing w:val="-5"/>
                <w:sz w:val="24"/>
                <w:lang w:val="en-US" w:eastAsia="zh-CN"/>
              </w:rPr>
              <w:t>》环办环评函[2017]1529号</w:t>
            </w:r>
            <w:r>
              <w:rPr>
                <w:rFonts w:hint="default" w:ascii="Times New Roman" w:hAnsi="Times New Roman" w:cs="Times New Roman"/>
                <w:spacing w:val="-5"/>
                <w:sz w:val="24"/>
              </w:rPr>
              <w:t xml:space="preserve">；  </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13、</w:t>
            </w:r>
            <w:r>
              <w:rPr>
                <w:rFonts w:hint="default" w:ascii="Times New Roman" w:hAnsi="Times New Roman" w:cs="Times New Roman"/>
                <w:spacing w:val="-5"/>
                <w:sz w:val="24"/>
                <w:lang w:val="en-US" w:eastAsia="zh-CN"/>
              </w:rPr>
              <w:t>深圳市环新环保技术有限公司</w:t>
            </w:r>
            <w:r>
              <w:rPr>
                <w:rFonts w:hint="default" w:ascii="Times New Roman" w:hAnsi="Times New Roman" w:cs="Times New Roman"/>
                <w:spacing w:val="-5"/>
                <w:sz w:val="24"/>
                <w:lang w:eastAsia="zh-CN"/>
              </w:rPr>
              <w:t>《</w:t>
            </w:r>
            <w:r>
              <w:rPr>
                <w:rFonts w:hint="default" w:ascii="Times New Roman" w:hAnsi="Times New Roman" w:cs="Times New Roman"/>
                <w:spacing w:val="-5"/>
                <w:sz w:val="24"/>
                <w:lang w:val="en-US" w:eastAsia="zh-CN"/>
              </w:rPr>
              <w:t>年印刷标签300万平方米项目环境影响报告表</w:t>
            </w:r>
            <w:r>
              <w:rPr>
                <w:rFonts w:hint="default" w:ascii="Times New Roman" w:hAnsi="Times New Roman" w:cs="Times New Roman"/>
                <w:spacing w:val="-5"/>
                <w:sz w:val="24"/>
                <w:lang w:eastAsia="zh-CN"/>
              </w:rPr>
              <w:t>》；</w:t>
            </w:r>
          </w:p>
          <w:p>
            <w:pPr>
              <w:numPr>
                <w:ilvl w:val="0"/>
                <w:numId w:val="0"/>
              </w:numPr>
              <w:spacing w:line="360" w:lineRule="auto"/>
              <w:ind w:right="0" w:rightChars="0"/>
              <w:rPr>
                <w:sz w:val="24"/>
              </w:rPr>
            </w:pPr>
            <w:r>
              <w:rPr>
                <w:rFonts w:hint="eastAsia" w:ascii="Times New Roman" w:hAnsi="Times New Roman" w:cs="Times New Roman"/>
                <w:spacing w:val="-5"/>
                <w:sz w:val="24"/>
                <w:lang w:val="en-US" w:eastAsia="zh-CN"/>
              </w:rPr>
              <w:t>14、</w:t>
            </w:r>
            <w:r>
              <w:rPr>
                <w:rFonts w:hint="default" w:ascii="Times New Roman" w:hAnsi="Times New Roman" w:cs="Times New Roman"/>
                <w:spacing w:val="-5"/>
                <w:sz w:val="24"/>
                <w:lang w:val="en-US" w:eastAsia="zh-CN"/>
              </w:rPr>
              <w:t>贵州双龙航空港经济区生态建设管理局黔双龙建设发[2017]46号《关于年印刷标签300万平方米项目环境影响报告表的批复》。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197"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11"/>
              <w:rPr>
                <w:sz w:val="29"/>
              </w:rPr>
            </w:pPr>
          </w:p>
          <w:p>
            <w:pPr>
              <w:pStyle w:val="15"/>
              <w:spacing w:line="364" w:lineRule="auto"/>
              <w:ind w:left="143" w:right="128"/>
              <w:jc w:val="center"/>
              <w:rPr>
                <w:b/>
                <w:sz w:val="24"/>
              </w:rPr>
            </w:pPr>
            <w:r>
              <w:rPr>
                <w:b/>
                <w:sz w:val="24"/>
              </w:rPr>
              <w:t xml:space="preserve">验收监测评价标 </w:t>
            </w:r>
            <w:r>
              <w:rPr>
                <w:b/>
                <w:spacing w:val="-2"/>
                <w:w w:val="95"/>
                <w:sz w:val="24"/>
              </w:rPr>
              <w:t>准、标号、级别、</w:t>
            </w:r>
            <w:r>
              <w:rPr>
                <w:b/>
                <w:sz w:val="24"/>
              </w:rPr>
              <w:t>限值</w:t>
            </w:r>
          </w:p>
        </w:tc>
        <w:tc>
          <w:tcPr>
            <w:tcW w:w="7242" w:type="dxa"/>
          </w:tcPr>
          <w:p>
            <w:pPr>
              <w:spacing w:line="36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1、生活污水</w:t>
            </w:r>
          </w:p>
          <w:p>
            <w:pPr>
              <w:spacing w:line="360" w:lineRule="auto"/>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该项目生活污水排放执行《污水综合排放标准》（GB 8978-1996）中三级标准。详见表1-1。</w:t>
            </w:r>
          </w:p>
          <w:p>
            <w:p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4"/>
                <w:szCs w:val="24"/>
                <w:lang w:val="en-US" w:eastAsia="zh-CN"/>
              </w:rPr>
              <w:t xml:space="preserve">表1-1 《污水综合排放标准》（GB 8978-1996）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1124"/>
              <w:gridCol w:w="1124"/>
              <w:gridCol w:w="866"/>
              <w:gridCol w:w="1412"/>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标准</w:t>
                  </w:r>
                </w:p>
              </w:tc>
              <w:tc>
                <w:tcPr>
                  <w:tcW w:w="1124"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sz w:val="21"/>
                      <w:szCs w:val="21"/>
                      <w:vertAlign w:val="baseline"/>
                      <w:lang w:val="en-US" w:eastAsia="zh-CN"/>
                    </w:rPr>
                  </w:pPr>
                  <w:r>
                    <w:rPr>
                      <w:rFonts w:ascii="Times New Roman"/>
                      <w:sz w:val="21"/>
                      <w:szCs w:val="21"/>
                    </w:rPr>
                    <w:t>COD</w:t>
                  </w:r>
                </w:p>
              </w:tc>
              <w:tc>
                <w:tcPr>
                  <w:tcW w:w="1124"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sz w:val="21"/>
                      <w:szCs w:val="21"/>
                      <w:vertAlign w:val="baseline"/>
                      <w:lang w:val="en-US" w:eastAsia="zh-CN"/>
                    </w:rPr>
                  </w:pPr>
                  <w:r>
                    <w:rPr>
                      <w:rFonts w:ascii="Times New Roman"/>
                      <w:position w:val="2"/>
                      <w:sz w:val="21"/>
                      <w:szCs w:val="21"/>
                    </w:rPr>
                    <w:t>BOD</w:t>
                  </w:r>
                  <w:r>
                    <w:rPr>
                      <w:rFonts w:ascii="Times New Roman"/>
                      <w:position w:val="2"/>
                      <w:sz w:val="21"/>
                      <w:szCs w:val="21"/>
                      <w:vertAlign w:val="subscript"/>
                    </w:rPr>
                    <w:t>5</w:t>
                  </w:r>
                </w:p>
              </w:tc>
              <w:tc>
                <w:tcPr>
                  <w:tcW w:w="866"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sz w:val="21"/>
                      <w:szCs w:val="21"/>
                      <w:vertAlign w:val="baseline"/>
                      <w:lang w:val="en-US" w:eastAsia="zh-CN"/>
                    </w:rPr>
                  </w:pPr>
                  <w:r>
                    <w:rPr>
                      <w:rFonts w:ascii="Times New Roman"/>
                      <w:sz w:val="21"/>
                      <w:szCs w:val="21"/>
                    </w:rPr>
                    <w:t>SS</w:t>
                  </w:r>
                </w:p>
              </w:tc>
              <w:tc>
                <w:tcPr>
                  <w:tcW w:w="1412"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ascii="Times New Roman"/>
                      <w:color w:val="auto"/>
                      <w:position w:val="2"/>
                      <w:sz w:val="21"/>
                      <w:szCs w:val="21"/>
                    </w:rPr>
                    <w:t>NH</w:t>
                  </w:r>
                  <w:r>
                    <w:rPr>
                      <w:rFonts w:ascii="Times New Roman"/>
                      <w:color w:val="auto"/>
                      <w:position w:val="2"/>
                      <w:sz w:val="21"/>
                      <w:szCs w:val="21"/>
                      <w:vertAlign w:val="subscript"/>
                    </w:rPr>
                    <w:t>3</w:t>
                  </w:r>
                  <w:r>
                    <w:rPr>
                      <w:rFonts w:ascii="Times New Roman"/>
                      <w:color w:val="auto"/>
                      <w:position w:val="2"/>
                      <w:sz w:val="21"/>
                      <w:szCs w:val="21"/>
                      <w:vertAlign w:val="baseline"/>
                    </w:rPr>
                    <w:t>-N</w:t>
                  </w:r>
                  <w:r>
                    <w:rPr>
                      <w:rFonts w:hint="eastAsia" w:ascii="Times New Roman"/>
                      <w:color w:val="auto"/>
                      <w:position w:val="2"/>
                      <w:sz w:val="21"/>
                      <w:szCs w:val="21"/>
                      <w:vertAlign w:val="baseline"/>
                      <w:lang w:eastAsia="zh-CN"/>
                    </w:rPr>
                    <w:t>（</w:t>
                  </w:r>
                  <w:r>
                    <w:rPr>
                      <w:rFonts w:hint="eastAsia" w:ascii="Times New Roman"/>
                      <w:color w:val="auto"/>
                      <w:position w:val="2"/>
                      <w:sz w:val="21"/>
                      <w:szCs w:val="21"/>
                      <w:vertAlign w:val="baseline"/>
                      <w:lang w:val="en-US" w:eastAsia="zh-CN"/>
                    </w:rPr>
                    <w:t>二级</w:t>
                  </w:r>
                  <w:r>
                    <w:rPr>
                      <w:rFonts w:hint="eastAsia" w:ascii="Times New Roman"/>
                      <w:color w:val="auto"/>
                      <w:position w:val="2"/>
                      <w:sz w:val="21"/>
                      <w:szCs w:val="21"/>
                      <w:vertAlign w:val="baseline"/>
                      <w:lang w:eastAsia="zh-CN"/>
                    </w:rPr>
                    <w:t>）</w:t>
                  </w:r>
                </w:p>
              </w:tc>
              <w:tc>
                <w:tcPr>
                  <w:tcW w:w="117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color w:val="auto"/>
                      <w:sz w:val="21"/>
                      <w:szCs w:val="21"/>
                      <w:vertAlign w:val="baseline"/>
                      <w:lang w:val="en-US" w:eastAsia="zh-CN"/>
                    </w:rPr>
                  </w:pPr>
                  <w:r>
                    <w:rPr>
                      <w:rFonts w:ascii="Times New Roman"/>
                      <w:color w:val="auto"/>
                      <w:sz w:val="21"/>
                      <w:szCs w:val="21"/>
                    </w:rPr>
                    <w:t>TP</w:t>
                  </w:r>
                  <w:r>
                    <w:rPr>
                      <w:rFonts w:hint="eastAsia" w:ascii="Times New Roman"/>
                      <w:color w:val="auto"/>
                      <w:position w:val="2"/>
                      <w:sz w:val="21"/>
                      <w:szCs w:val="21"/>
                      <w:vertAlign w:val="baseline"/>
                      <w:lang w:eastAsia="zh-CN"/>
                    </w:rPr>
                    <w:t>（</w:t>
                  </w:r>
                  <w:r>
                    <w:rPr>
                      <w:rFonts w:hint="eastAsia" w:ascii="Times New Roman"/>
                      <w:color w:val="auto"/>
                      <w:position w:val="2"/>
                      <w:sz w:val="21"/>
                      <w:szCs w:val="21"/>
                      <w:vertAlign w:val="baseline"/>
                      <w:lang w:val="en-US" w:eastAsia="zh-CN"/>
                    </w:rPr>
                    <w:t>二级</w:t>
                  </w:r>
                  <w:r>
                    <w:rPr>
                      <w:rFonts w:hint="eastAsia" w:ascii="Times New Roman"/>
                      <w:color w:val="auto"/>
                      <w:position w:val="2"/>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三级（mg/L）</w:t>
                  </w:r>
                </w:p>
              </w:tc>
              <w:tc>
                <w:tcPr>
                  <w:tcW w:w="112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500</w:t>
                  </w:r>
                </w:p>
              </w:tc>
              <w:tc>
                <w:tcPr>
                  <w:tcW w:w="112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300</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400</w:t>
                  </w:r>
                </w:p>
              </w:tc>
              <w:tc>
                <w:tcPr>
                  <w:tcW w:w="14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w:t>
                  </w:r>
                </w:p>
              </w:tc>
              <w:tc>
                <w:tcPr>
                  <w:tcW w:w="11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r>
          </w:tbl>
          <w:p>
            <w:pPr>
              <w:pStyle w:val="5"/>
              <w:spacing w:line="360" w:lineRule="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废气</w:t>
            </w:r>
          </w:p>
          <w:p>
            <w:pPr>
              <w:pStyle w:val="5"/>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该项目大气污染物排放执行《大气污染物综合排放标准》（GB 16297-1996）中二级标准。详见表1-2。</w:t>
            </w:r>
          </w:p>
          <w:p>
            <w:pPr>
              <w:pStyle w:val="5"/>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表1-2 《大气污染物综合排放标准》（GB 16297-1996）</w:t>
            </w:r>
          </w:p>
          <w:tbl>
            <w:tblPr>
              <w:tblStyle w:val="1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4"/>
              <w:gridCol w:w="3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489"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标准</w:t>
                  </w:r>
                </w:p>
              </w:tc>
              <w:tc>
                <w:tcPr>
                  <w:tcW w:w="2510"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489"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w:t>
                  </w:r>
                </w:p>
              </w:tc>
              <w:tc>
                <w:tcPr>
                  <w:tcW w:w="2510"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489"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无组织</w:t>
                  </w:r>
                </w:p>
              </w:tc>
              <w:tc>
                <w:tcPr>
                  <w:tcW w:w="2510"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w:t>
                  </w:r>
                </w:p>
              </w:tc>
            </w:tr>
          </w:tbl>
          <w:p>
            <w:pPr>
              <w:pStyle w:val="5"/>
              <w:spacing w:line="360" w:lineRule="auto"/>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3、噪声</w:t>
            </w:r>
          </w:p>
          <w:p>
            <w:pPr>
              <w:pStyle w:val="5"/>
              <w:spacing w:line="360" w:lineRule="auto"/>
              <w:ind w:firstLine="480"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sz w:val="24"/>
                <w:szCs w:val="24"/>
                <w:lang w:val="en-US" w:eastAsia="zh-CN"/>
              </w:rPr>
              <w:t>该项目噪声排放执行</w:t>
            </w:r>
            <w:r>
              <w:rPr>
                <w:rFonts w:hint="eastAsia" w:ascii="Times New Roman" w:hAnsi="Times New Roman" w:cs="Times New Roman"/>
                <w:b w:val="0"/>
                <w:bCs w:val="0"/>
                <w:sz w:val="24"/>
                <w:szCs w:val="24"/>
                <w:lang w:val="en-US" w:eastAsia="zh-CN"/>
              </w:rPr>
              <w:t>《工业企业厂界环境噪声排放标准》（GB 12348-2008）中3类标准。详见1-3。</w:t>
            </w:r>
          </w:p>
          <w:p>
            <w:pPr>
              <w:pStyle w:val="5"/>
              <w:spacing w:line="360" w:lineRule="auto"/>
              <w:jc w:val="center"/>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表1-3 《工业企业厂界环境噪声排放标准》（GB 12348-2008）</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标准</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昼间</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3类（dB（A））</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65</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w:t>
                  </w:r>
                </w:p>
              </w:tc>
            </w:tr>
          </w:tbl>
          <w:p>
            <w:pPr>
              <w:pStyle w:val="5"/>
              <w:spacing w:line="360" w:lineRule="auto"/>
            </w:pPr>
            <w:r>
              <w:rPr>
                <w:rFonts w:ascii="Times New Roman" w:eastAsia="Times New Roman"/>
              </w:rPr>
              <w:t>4</w:t>
            </w:r>
            <w:r>
              <w:t>、固体废弃物</w:t>
            </w:r>
          </w:p>
          <w:p>
            <w:pPr>
              <w:spacing w:line="36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项目生活垃圾统一收集后交由环卫部门统一处理。项目产生的废包装材料、废边角料、不合格品属于一般固废，应统一收集，外售或者回用处理。</w:t>
            </w:r>
          </w:p>
          <w:p>
            <w:pPr>
              <w:spacing w:line="36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项目产生的废包装桶、废含油抹布、废PS版、废树脂版、废菲林、废活性炭属于危险废物，交由有危险废物处置资质的单位处理。</w:t>
            </w:r>
          </w:p>
          <w:p>
            <w:pPr>
              <w:spacing w:line="36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5、其他要求</w:t>
            </w:r>
          </w:p>
          <w:p>
            <w:pPr>
              <w:spacing w:line="360" w:lineRule="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项目需高度重视危险废物的环境影响，危险废物由专用容器收集，修建单独的危险废物暂存间，危险废物管理及暂存间的修建严格执行《危险废物贮存污染控制标准》（GB 18597-2001）及2013年修改单中的有关规定。</w:t>
            </w:r>
          </w:p>
          <w:p>
            <w:pPr>
              <w:spacing w:line="360" w:lineRule="auto"/>
              <w:rPr>
                <w:rFonts w:hint="default" w:ascii="Times New Roman" w:hAnsi="Times New Roman" w:cs="Times New Roman"/>
                <w:b w:val="0"/>
                <w:bCs w:val="0"/>
                <w:sz w:val="24"/>
                <w:szCs w:val="24"/>
                <w:lang w:val="en-US" w:eastAsia="zh-CN"/>
              </w:rPr>
            </w:pPr>
          </w:p>
        </w:tc>
      </w:tr>
    </w:tbl>
    <w:p>
      <w:pPr>
        <w:spacing w:after="0" w:line="364" w:lineRule="auto"/>
        <w:jc w:val="both"/>
        <w:rPr>
          <w:sz w:val="24"/>
        </w:rPr>
        <w:sectPr>
          <w:footerReference r:id="rId6" w:type="default"/>
          <w:pgSz w:w="11910" w:h="16840"/>
          <w:pgMar w:top="1440" w:right="1000" w:bottom="1100" w:left="1000" w:header="0" w:footer="915" w:gutter="0"/>
          <w:pgBorders>
            <w:top w:val="none" w:sz="0" w:space="0"/>
            <w:left w:val="none" w:sz="0" w:space="0"/>
            <w:bottom w:val="none" w:sz="0" w:space="0"/>
            <w:right w:val="none" w:sz="0" w:space="0"/>
          </w:pgBorders>
          <w:cols w:space="720" w:num="1"/>
        </w:sectPr>
      </w:pPr>
    </w:p>
    <w:p>
      <w:pPr>
        <w:pStyle w:val="2"/>
        <w:tabs>
          <w:tab w:val="left" w:pos="1570"/>
        </w:tabs>
      </w:pPr>
      <w:r>
        <w:pict>
          <v:group id="_x0000_s1033" o:spid="_x0000_s1033" o:spt="203" style="position:absolute;left:0pt;margin-left:59.45pt;margin-top:90.15pt;height:672pt;width:476.35pt;mso-position-horizontal-relative:page;mso-position-vertical-relative:page;z-index:-251656192;mso-width-relative:page;mso-height-relative:page;" coordorigin="1189,1804" coordsize="9527,13440">
            <o:lock v:ext="edit"/>
            <v:line id="_x0000_s1034" o:spid="_x0000_s1034" o:spt="20" style="position:absolute;left:1189;top:1808;height:0;width:9527;" stroked="t" coordsize="21600,21600">
              <v:path arrowok="t"/>
              <v:fill focussize="0,0"/>
              <v:stroke weight="0.48pt" color="#000000"/>
              <v:imagedata o:title=""/>
              <o:lock v:ext="edit"/>
            </v:line>
            <v:line id="_x0000_s1035" o:spid="_x0000_s1035" o:spt="20" style="position:absolute;left:1189;top:15239;height:0;width:9527;" stroked="t" coordsize="21600,21600">
              <v:path arrowok="t"/>
              <v:fill focussize="0,0"/>
              <v:stroke weight="0.48pt" color="#000000"/>
              <v:imagedata o:title=""/>
              <o:lock v:ext="edit"/>
            </v:line>
            <v:line id="_x0000_s1036" o:spid="_x0000_s1036" o:spt="20" style="position:absolute;left:1194;top:1804;height:13430;width:0;" stroked="t" coordsize="21600,21600">
              <v:path arrowok="t"/>
              <v:fill focussize="0,0"/>
              <v:stroke weight="0.48pt" color="#000000"/>
              <v:imagedata o:title=""/>
              <o:lock v:ext="edit"/>
            </v:line>
            <v:line id="_x0000_s1037" o:spid="_x0000_s1037" o:spt="20" style="position:absolute;left:10711;top:1804;height:13430;width:0;" stroked="t" coordsize="21600,21600">
              <v:path arrowok="t"/>
              <v:fill focussize="0,0"/>
              <v:stroke weight="0.48pt" color="#000000"/>
              <v:imagedata o:title=""/>
              <o:lock v:ext="edit"/>
            </v:line>
          </v:group>
        </w:pict>
      </w:r>
      <w:bookmarkStart w:id="2" w:name="_TOC_250006"/>
      <w:r>
        <w:t>表</w:t>
      </w:r>
      <w:r>
        <w:rPr>
          <w:spacing w:val="-71"/>
        </w:rPr>
        <w:t xml:space="preserve"> </w:t>
      </w:r>
      <w:r>
        <w:rPr>
          <w:rFonts w:ascii="Times New Roman" w:eastAsia="Times New Roman"/>
        </w:rPr>
        <w:t>2</w:t>
      </w:r>
      <w:r>
        <w:rPr>
          <w:rFonts w:ascii="Times New Roman" w:eastAsia="Times New Roman"/>
        </w:rPr>
        <w:tab/>
      </w:r>
      <w:bookmarkEnd w:id="2"/>
      <w:r>
        <w:t>建设项目情况</w:t>
      </w:r>
    </w:p>
    <w:p>
      <w:pPr>
        <w:spacing w:before="160"/>
        <w:ind w:left="780" w:right="0" w:firstLine="0"/>
        <w:jc w:val="left"/>
        <w:rPr>
          <w:rFonts w:ascii="宋体" w:hAnsi="宋体" w:eastAsia="宋体" w:cs="宋体"/>
          <w:spacing w:val="12"/>
          <w:sz w:val="24"/>
          <w:szCs w:val="24"/>
          <w:lang w:val="zh-CN" w:eastAsia="zh-CN" w:bidi="zh-CN"/>
        </w:rPr>
      </w:pPr>
      <w:r>
        <w:rPr>
          <w:rFonts w:ascii="Times New Roman" w:eastAsia="Times New Roman"/>
          <w:b/>
          <w:sz w:val="24"/>
        </w:rPr>
        <w:t>1</w:t>
      </w:r>
      <w:r>
        <w:rPr>
          <w:b/>
          <w:sz w:val="24"/>
        </w:rPr>
        <w:t>、项目地理位置</w:t>
      </w:r>
    </w:p>
    <w:p>
      <w:pPr>
        <w:pStyle w:val="5"/>
        <w:spacing w:before="159" w:line="364" w:lineRule="auto"/>
        <w:ind w:left="300" w:right="299" w:firstLine="480"/>
        <w:jc w:val="both"/>
        <w:rPr>
          <w:spacing w:val="2"/>
          <w:sz w:val="24"/>
          <w:lang w:val="zh-CN" w:eastAsia="zh-CN"/>
        </w:rPr>
      </w:pPr>
      <w:r>
        <w:rPr>
          <w:spacing w:val="2"/>
          <w:sz w:val="24"/>
          <w:lang w:val="zh-CN" w:eastAsia="zh-CN"/>
        </w:rPr>
        <w:t>项目位于贵州宝信捷投资有限公司4号车间3层1号。东面隔道路为贵州宝信捷投资有限公司在建办公楼（在建，砖混，共3层）；西面隔道路为精彩印刷（已建，标准厂房，共3层），南侧为贵州方鸿实业有限责任公司（已建，砖混，共3层）；北面为贵州宝信捷投资有限公司印刷厂(已建，标准厂房，共3层)。</w:t>
      </w:r>
    </w:p>
    <w:p>
      <w:pPr>
        <w:pStyle w:val="3"/>
        <w:ind w:left="780"/>
        <w:rPr>
          <w:rFonts w:hint="default" w:eastAsia="宋体"/>
          <w:lang w:val="en-US" w:eastAsia="zh-CN"/>
        </w:rPr>
      </w:pPr>
      <w:r>
        <w:rPr>
          <w:rFonts w:ascii="Times New Roman" w:eastAsia="Times New Roman"/>
        </w:rPr>
        <w:t>2</w:t>
      </w:r>
      <w:r>
        <w:t>、</w:t>
      </w:r>
      <w:r>
        <w:rPr>
          <w:rFonts w:hint="eastAsia"/>
          <w:lang w:val="en-US" w:eastAsia="zh-CN"/>
        </w:rPr>
        <w:t>建设内容</w:t>
      </w:r>
    </w:p>
    <w:p>
      <w:pPr>
        <w:pStyle w:val="5"/>
        <w:spacing w:before="159" w:line="364" w:lineRule="auto"/>
        <w:ind w:left="300" w:right="299" w:firstLine="480"/>
        <w:jc w:val="both"/>
        <w:rPr>
          <w:sz w:val="24"/>
        </w:rPr>
      </w:pPr>
      <w:r>
        <w:rPr>
          <w:spacing w:val="2"/>
          <w:sz w:val="24"/>
        </w:rPr>
        <w:t>本项目系租赁贵州宝信捷投资有限公司</w:t>
      </w:r>
      <w:r>
        <w:rPr>
          <w:rFonts w:ascii="Times New Roman" w:eastAsia="Times New Roman"/>
          <w:sz w:val="24"/>
        </w:rPr>
        <w:t>4</w:t>
      </w:r>
      <w:r>
        <w:rPr>
          <w:rFonts w:ascii="Times New Roman" w:eastAsia="Times New Roman"/>
          <w:spacing w:val="-27"/>
          <w:sz w:val="24"/>
        </w:rPr>
        <w:t xml:space="preserve"> </w:t>
      </w:r>
      <w:r>
        <w:rPr>
          <w:spacing w:val="12"/>
          <w:sz w:val="24"/>
        </w:rPr>
        <w:t>号车间</w:t>
      </w:r>
      <w:r>
        <w:rPr>
          <w:rFonts w:ascii="Times New Roman" w:eastAsia="Times New Roman"/>
          <w:sz w:val="24"/>
        </w:rPr>
        <w:t>3</w:t>
      </w:r>
      <w:r>
        <w:rPr>
          <w:rFonts w:ascii="Times New Roman" w:eastAsia="Times New Roman"/>
          <w:spacing w:val="-23"/>
          <w:sz w:val="24"/>
        </w:rPr>
        <w:t xml:space="preserve"> </w:t>
      </w:r>
      <w:r>
        <w:rPr>
          <w:spacing w:val="36"/>
          <w:sz w:val="24"/>
        </w:rPr>
        <w:t>层</w:t>
      </w:r>
      <w:r>
        <w:rPr>
          <w:rFonts w:ascii="Times New Roman" w:eastAsia="Times New Roman"/>
          <w:sz w:val="24"/>
        </w:rPr>
        <w:t>1</w:t>
      </w:r>
      <w:r>
        <w:rPr>
          <w:rFonts w:ascii="Times New Roman" w:eastAsia="Times New Roman"/>
          <w:spacing w:val="-24"/>
          <w:sz w:val="24"/>
        </w:rPr>
        <w:t xml:space="preserve"> </w:t>
      </w:r>
      <w:r>
        <w:rPr>
          <w:spacing w:val="-2"/>
          <w:sz w:val="24"/>
        </w:rPr>
        <w:t>号作为生产经营场所，</w:t>
      </w:r>
      <w:r>
        <w:rPr>
          <w:spacing w:val="-9"/>
          <w:sz w:val="24"/>
        </w:rPr>
        <w:t>建筑面积约</w:t>
      </w:r>
      <w:r>
        <w:rPr>
          <w:rFonts w:ascii="Times New Roman" w:eastAsia="Times New Roman"/>
          <w:sz w:val="24"/>
        </w:rPr>
        <w:t>670m</w:t>
      </w:r>
      <w:r>
        <w:rPr>
          <w:rFonts w:ascii="Times New Roman" w:eastAsia="Times New Roman"/>
          <w:position w:val="8"/>
          <w:sz w:val="15"/>
        </w:rPr>
        <w:t>2</w:t>
      </w:r>
      <w:r>
        <w:rPr>
          <w:spacing w:val="-6"/>
          <w:sz w:val="24"/>
        </w:rPr>
        <w:t>，车间层高约为</w:t>
      </w:r>
      <w:r>
        <w:rPr>
          <w:rFonts w:ascii="Times New Roman" w:eastAsia="Times New Roman"/>
          <w:sz w:val="24"/>
        </w:rPr>
        <w:t>4.5m</w:t>
      </w:r>
      <w:r>
        <w:rPr>
          <w:rFonts w:ascii="Times New Roman" w:eastAsia="Times New Roman"/>
          <w:spacing w:val="14"/>
          <w:sz w:val="24"/>
        </w:rPr>
        <w:t xml:space="preserve"> </w:t>
      </w:r>
      <w:r>
        <w:rPr>
          <w:sz w:val="24"/>
        </w:rPr>
        <w:t>。本项目不设食堂、宿舍，不设置备用</w:t>
      </w:r>
      <w:r>
        <w:rPr>
          <w:spacing w:val="-4"/>
          <w:sz w:val="24"/>
        </w:rPr>
        <w:t>发电机、锅炉等辅助设施。详见表</w:t>
      </w:r>
      <w:r>
        <w:rPr>
          <w:rFonts w:hint="eastAsia" w:ascii="Times New Roman"/>
          <w:sz w:val="24"/>
          <w:lang w:val="en-US" w:eastAsia="zh-CN"/>
        </w:rPr>
        <w:t>2</w:t>
      </w:r>
      <w:r>
        <w:rPr>
          <w:rFonts w:ascii="Times New Roman" w:eastAsia="Times New Roman"/>
          <w:sz w:val="24"/>
        </w:rPr>
        <w:t>-</w:t>
      </w:r>
      <w:r>
        <w:rPr>
          <w:rFonts w:hint="eastAsia" w:ascii="Times New Roman"/>
          <w:sz w:val="24"/>
          <w:lang w:val="en-US" w:eastAsia="zh-CN"/>
        </w:rPr>
        <w:t>1</w:t>
      </w:r>
      <w:r>
        <w:rPr>
          <w:sz w:val="24"/>
        </w:rPr>
        <w:t>。</w:t>
      </w:r>
    </w:p>
    <w:p>
      <w:pPr>
        <w:pStyle w:val="5"/>
        <w:spacing w:before="159" w:line="364" w:lineRule="auto"/>
        <w:ind w:left="300" w:right="299" w:firstLine="48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表2-1</w:t>
      </w:r>
      <w:r>
        <w:rPr>
          <w:rFonts w:hint="eastAsia" w:ascii="Times New Roman" w:hAnsi="Times New Roman" w:cs="Times New Roman"/>
          <w:sz w:val="24"/>
          <w:lang w:val="en-US" w:eastAsia="zh-CN"/>
        </w:rPr>
        <w:t xml:space="preserve">  项目建设内容一览表</w:t>
      </w:r>
    </w:p>
    <w:tbl>
      <w:tblPr>
        <w:tblStyle w:val="11"/>
        <w:tblW w:w="46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0"/>
        <w:gridCol w:w="1911"/>
        <w:gridCol w:w="3588"/>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序号</w:t>
            </w:r>
          </w:p>
        </w:tc>
        <w:tc>
          <w:tcPr>
            <w:tcW w:w="1025"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区域</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面积（m2）</w:t>
            </w:r>
          </w:p>
        </w:tc>
        <w:tc>
          <w:tcPr>
            <w:tcW w:w="1025" w:type="pct"/>
          </w:tcPr>
          <w:p>
            <w:pPr>
              <w:pStyle w:val="15"/>
              <w:spacing w:before="1" w:line="242" w:lineRule="auto"/>
              <w:ind w:left="228" w:right="219"/>
              <w:rPr>
                <w:rFonts w:hint="eastAsia"/>
                <w:sz w:val="21"/>
                <w:lang w:val="en-US" w:eastAsia="zh-CN"/>
              </w:rPr>
            </w:pPr>
            <w:r>
              <w:rPr>
                <w:rFonts w:hint="eastAsia"/>
                <w:sz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1</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接待台</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40</w:t>
            </w:r>
          </w:p>
        </w:tc>
        <w:tc>
          <w:tcPr>
            <w:tcW w:w="1025" w:type="pct"/>
            <w:vMerge w:val="restart"/>
            <w:vAlign w:val="top"/>
          </w:tcPr>
          <w:p>
            <w:pPr>
              <w:pStyle w:val="5"/>
              <w:spacing w:before="159" w:line="364" w:lineRule="auto"/>
              <w:ind w:right="299"/>
              <w:jc w:val="both"/>
              <w:rPr>
                <w:rFonts w:hint="default"/>
                <w:spacing w:val="2"/>
                <w:sz w:val="24"/>
                <w:lang w:eastAsia="zh-CN"/>
              </w:rPr>
            </w:pPr>
            <w:r>
              <w:rPr>
                <w:rFonts w:hint="default"/>
                <w:spacing w:val="2"/>
                <w:sz w:val="24"/>
              </w:rPr>
              <w:t xml:space="preserve">1、位 于 同 一 层 楼面，楼层高约 4.5m </w:t>
            </w:r>
            <w:r>
              <w:rPr>
                <w:rFonts w:hint="default"/>
                <w:spacing w:val="2"/>
                <w:sz w:val="24"/>
                <w:lang w:eastAsia="zh-CN"/>
              </w:rPr>
              <w:t>。</w:t>
            </w:r>
          </w:p>
          <w:p>
            <w:pPr>
              <w:pStyle w:val="5"/>
              <w:spacing w:before="159" w:line="364" w:lineRule="auto"/>
              <w:ind w:right="299"/>
              <w:jc w:val="both"/>
              <w:rPr>
                <w:sz w:val="21"/>
              </w:rPr>
            </w:pPr>
            <w:r>
              <w:rPr>
                <w:rFonts w:hint="default"/>
                <w:spacing w:val="2"/>
                <w:sz w:val="24"/>
              </w:rPr>
              <w:t>2、本项目不设置制版间，制版委托贵州宝信捷投资有限公司进行。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2</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原料仓库</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100</w:t>
            </w:r>
          </w:p>
        </w:tc>
        <w:tc>
          <w:tcPr>
            <w:tcW w:w="1025" w:type="pct"/>
            <w:vMerge w:val="continue"/>
          </w:tcPr>
          <w:p>
            <w:pPr>
              <w:pStyle w:val="5"/>
              <w:spacing w:before="159" w:line="364" w:lineRule="auto"/>
              <w:ind w:right="299"/>
              <w:jc w:val="both"/>
              <w:rPr>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3</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印刷车间</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200</w:t>
            </w:r>
          </w:p>
        </w:tc>
        <w:tc>
          <w:tcPr>
            <w:tcW w:w="1025" w:type="pct"/>
            <w:vMerge w:val="continue"/>
          </w:tcPr>
          <w:p>
            <w:pPr>
              <w:pStyle w:val="5"/>
              <w:spacing w:before="159" w:line="364" w:lineRule="auto"/>
              <w:ind w:right="299"/>
              <w:jc w:val="both"/>
              <w:rPr>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4</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成品堆放处</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260</w:t>
            </w:r>
          </w:p>
        </w:tc>
        <w:tc>
          <w:tcPr>
            <w:tcW w:w="1025" w:type="pct"/>
            <w:vMerge w:val="continue"/>
          </w:tcPr>
          <w:p>
            <w:pPr>
              <w:pStyle w:val="5"/>
              <w:spacing w:before="159" w:line="364" w:lineRule="auto"/>
              <w:ind w:right="299"/>
              <w:jc w:val="both"/>
              <w:rPr>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5</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办公会议室</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40</w:t>
            </w:r>
          </w:p>
        </w:tc>
        <w:tc>
          <w:tcPr>
            <w:tcW w:w="1025" w:type="pct"/>
            <w:vMerge w:val="continue"/>
          </w:tcPr>
          <w:p>
            <w:pPr>
              <w:pStyle w:val="5"/>
              <w:spacing w:before="159" w:line="364" w:lineRule="auto"/>
              <w:ind w:right="299"/>
              <w:jc w:val="both"/>
              <w:rPr>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6</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危废暂存间</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5</w:t>
            </w:r>
          </w:p>
        </w:tc>
        <w:tc>
          <w:tcPr>
            <w:tcW w:w="1025" w:type="pct"/>
            <w:vMerge w:val="continue"/>
          </w:tcPr>
          <w:p>
            <w:pPr>
              <w:pStyle w:val="5"/>
              <w:spacing w:before="159" w:line="364" w:lineRule="auto"/>
              <w:ind w:right="299"/>
              <w:jc w:val="both"/>
              <w:rPr>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7</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卫生间</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5</w:t>
            </w:r>
          </w:p>
        </w:tc>
        <w:tc>
          <w:tcPr>
            <w:tcW w:w="1025" w:type="pct"/>
            <w:vMerge w:val="continue"/>
          </w:tcPr>
          <w:p>
            <w:pPr>
              <w:pStyle w:val="5"/>
              <w:spacing w:before="159" w:line="364" w:lineRule="auto"/>
              <w:ind w:right="299"/>
              <w:jc w:val="both"/>
              <w:rPr>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8</w:t>
            </w:r>
          </w:p>
        </w:tc>
        <w:tc>
          <w:tcPr>
            <w:tcW w:w="1025" w:type="pct"/>
            <w:vAlign w:val="center"/>
          </w:tcPr>
          <w:p>
            <w:pPr>
              <w:pStyle w:val="5"/>
              <w:spacing w:before="159" w:line="364" w:lineRule="auto"/>
              <w:ind w:right="299"/>
              <w:jc w:val="both"/>
              <w:rPr>
                <w:rFonts w:hint="default"/>
                <w:spacing w:val="2"/>
                <w:sz w:val="24"/>
                <w:lang w:val="zh-CN" w:eastAsia="zh-CN"/>
              </w:rPr>
            </w:pPr>
            <w:r>
              <w:rPr>
                <w:rFonts w:hint="default"/>
                <w:spacing w:val="2"/>
                <w:sz w:val="24"/>
              </w:rPr>
              <w:t>其余</w:t>
            </w:r>
          </w:p>
        </w:tc>
        <w:tc>
          <w:tcPr>
            <w:tcW w:w="1924" w:type="pct"/>
            <w:vAlign w:val="center"/>
          </w:tcPr>
          <w:p>
            <w:pPr>
              <w:pStyle w:val="5"/>
              <w:spacing w:before="159" w:line="364" w:lineRule="auto"/>
              <w:ind w:left="300" w:right="299" w:firstLine="480"/>
              <w:jc w:val="both"/>
              <w:rPr>
                <w:rFonts w:hint="default"/>
                <w:spacing w:val="2"/>
                <w:sz w:val="24"/>
                <w:lang w:val="zh-CN" w:eastAsia="zh-CN"/>
              </w:rPr>
            </w:pPr>
            <w:r>
              <w:rPr>
                <w:rFonts w:hint="default"/>
                <w:spacing w:val="2"/>
                <w:sz w:val="24"/>
              </w:rPr>
              <w:t>20</w:t>
            </w:r>
          </w:p>
        </w:tc>
        <w:tc>
          <w:tcPr>
            <w:tcW w:w="1025" w:type="pct"/>
            <w:vMerge w:val="continue"/>
          </w:tcPr>
          <w:p>
            <w:pPr>
              <w:pStyle w:val="5"/>
              <w:spacing w:before="159" w:line="364" w:lineRule="auto"/>
              <w:ind w:right="299"/>
              <w:jc w:val="both"/>
              <w:rPr>
                <w:sz w:val="24"/>
                <w:vertAlign w:val="baseline"/>
              </w:rPr>
            </w:pPr>
          </w:p>
        </w:tc>
      </w:tr>
    </w:tbl>
    <w:p>
      <w:pPr>
        <w:pStyle w:val="5"/>
        <w:spacing w:before="159" w:line="364" w:lineRule="auto"/>
        <w:ind w:left="300" w:right="299" w:firstLine="480"/>
        <w:jc w:val="both"/>
        <w:rPr>
          <w:rFonts w:hint="default"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3、建设项目主要组成</w:t>
      </w:r>
    </w:p>
    <w:p>
      <w:pPr>
        <w:pStyle w:val="5"/>
        <w:spacing w:before="159" w:line="364" w:lineRule="auto"/>
        <w:ind w:left="300" w:right="299" w:firstLine="480"/>
        <w:jc w:val="both"/>
        <w:rPr>
          <w:sz w:val="24"/>
        </w:rPr>
      </w:pPr>
      <w:r>
        <w:rPr>
          <w:spacing w:val="2"/>
          <w:sz w:val="24"/>
        </w:rPr>
        <w:t>本项目建设内容组成见表</w:t>
      </w:r>
      <w:r>
        <w:rPr>
          <w:rFonts w:hint="eastAsia"/>
          <w:spacing w:val="2"/>
          <w:sz w:val="24"/>
          <w:lang w:val="en-US" w:eastAsia="zh-CN"/>
        </w:rPr>
        <w:t>2</w:t>
      </w:r>
      <w:r>
        <w:rPr>
          <w:spacing w:val="2"/>
          <w:sz w:val="24"/>
        </w:rPr>
        <w:t>-</w:t>
      </w:r>
      <w:r>
        <w:rPr>
          <w:rFonts w:hint="eastAsia"/>
          <w:spacing w:val="2"/>
          <w:sz w:val="24"/>
          <w:lang w:val="en-US" w:eastAsia="zh-CN"/>
        </w:rPr>
        <w:t>3</w:t>
      </w:r>
      <w:r>
        <w:rPr>
          <w:spacing w:val="2"/>
          <w:sz w:val="24"/>
        </w:rPr>
        <w:t>。项目办公生产均在1层钢结构厂房内进行，项目项目内不设食堂、宿舍，员工食宿问题由其自行解决。</w:t>
      </w:r>
    </w:p>
    <w:p>
      <w:pPr>
        <w:spacing w:after="0" w:line="20" w:lineRule="exact"/>
        <w:rPr>
          <w:sz w:val="2"/>
        </w:rPr>
        <w:sectPr>
          <w:footerReference r:id="rId7" w:type="default"/>
          <w:pgSz w:w="11910" w:h="16840"/>
          <w:pgMar w:top="1440" w:right="1000" w:bottom="1100" w:left="1000" w:header="0" w:footer="915" w:gutter="0"/>
          <w:pgBorders>
            <w:top w:val="none" w:sz="0" w:space="0"/>
            <w:left w:val="none" w:sz="0" w:space="0"/>
            <w:bottom w:val="none" w:sz="0" w:space="0"/>
            <w:right w:val="none" w:sz="0" w:space="0"/>
          </w:pgBorders>
          <w:cols w:space="720" w:num="1"/>
        </w:sectPr>
      </w:pPr>
    </w:p>
    <w:tbl>
      <w:tblPr>
        <w:tblStyle w:val="10"/>
        <w:tblW w:w="0" w:type="auto"/>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9518" w:type="dxa"/>
          </w:tcPr>
          <w:p>
            <w:pPr>
              <w:pStyle w:val="15"/>
              <w:spacing w:before="1"/>
              <w:ind w:left="586"/>
              <w:jc w:val="center"/>
              <w:rPr>
                <w:rFonts w:hint="default" w:eastAsia="宋体"/>
                <w:b w:val="0"/>
                <w:bCs/>
                <w:sz w:val="24"/>
                <w:lang w:val="en-US" w:eastAsia="zh-CN"/>
              </w:rPr>
            </w:pPr>
            <w:r>
              <w:rPr>
                <w:rFonts w:hint="eastAsia"/>
                <w:b w:val="0"/>
                <w:bCs/>
                <w:sz w:val="24"/>
                <w:lang w:val="en-US" w:eastAsia="zh-CN"/>
              </w:rPr>
              <w:t>表2-3 建设项目主要组成与实际建设情况对照表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720"/>
              <w:gridCol w:w="2500"/>
              <w:gridCol w:w="2260"/>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eastAsia" w:eastAsia="宋体"/>
                      <w:b w:val="0"/>
                      <w:bCs/>
                      <w:sz w:val="24"/>
                      <w:vertAlign w:val="baseline"/>
                      <w:lang w:val="en-US" w:eastAsia="zh-CN"/>
                    </w:rPr>
                  </w:pPr>
                  <w:r>
                    <w:rPr>
                      <w:rFonts w:hint="eastAsia"/>
                      <w:b w:val="0"/>
                      <w:bCs/>
                      <w:sz w:val="24"/>
                      <w:vertAlign w:val="baseline"/>
                      <w:lang w:val="en-US" w:eastAsia="zh-CN"/>
                    </w:rPr>
                    <w:t>类别</w:t>
                  </w:r>
                </w:p>
              </w:tc>
              <w:tc>
                <w:tcPr>
                  <w:tcW w:w="1720" w:type="dxa"/>
                  <w:vMerge w:val="restart"/>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工程名称</w:t>
                  </w:r>
                </w:p>
              </w:tc>
              <w:tc>
                <w:tcPr>
                  <w:tcW w:w="2500" w:type="dxa"/>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环评设计阶段</w:t>
                  </w:r>
                </w:p>
              </w:tc>
              <w:tc>
                <w:tcPr>
                  <w:tcW w:w="2260" w:type="dxa"/>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实际建设情况</w:t>
                  </w:r>
                </w:p>
              </w:tc>
              <w:tc>
                <w:tcPr>
                  <w:tcW w:w="1422" w:type="dxa"/>
                  <w:vMerge w:val="restart"/>
                  <w:vAlign w:val="center"/>
                </w:tcPr>
                <w:p>
                  <w:pPr>
                    <w:pStyle w:val="15"/>
                    <w:spacing w:before="1"/>
                    <w:jc w:val="center"/>
                    <w:rPr>
                      <w:rFonts w:hint="eastAsia" w:eastAsia="宋体"/>
                      <w:b w:val="0"/>
                      <w:bCs/>
                      <w:sz w:val="24"/>
                      <w:vertAlign w:val="baseline"/>
                      <w:lang w:val="en-US" w:eastAsia="zh-CN"/>
                    </w:rPr>
                  </w:pPr>
                  <w:r>
                    <w:rPr>
                      <w:rFonts w:hint="eastAsia"/>
                      <w:b w:val="0"/>
                      <w:bCs/>
                      <w:sz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Merge w:val="continue"/>
                  <w:vAlign w:val="center"/>
                </w:tcPr>
                <w:p>
                  <w:pPr>
                    <w:pStyle w:val="15"/>
                    <w:spacing w:before="1"/>
                    <w:jc w:val="center"/>
                    <w:rPr>
                      <w:b w:val="0"/>
                      <w:bCs/>
                      <w:sz w:val="24"/>
                      <w:vertAlign w:val="baseline"/>
                    </w:rPr>
                  </w:pPr>
                </w:p>
              </w:tc>
              <w:tc>
                <w:tcPr>
                  <w:tcW w:w="2500" w:type="dxa"/>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工程内容</w:t>
                  </w:r>
                </w:p>
              </w:tc>
              <w:tc>
                <w:tcPr>
                  <w:tcW w:w="2260" w:type="dxa"/>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实际工程内容</w:t>
                  </w:r>
                </w:p>
              </w:tc>
              <w:tc>
                <w:tcPr>
                  <w:tcW w:w="1422" w:type="dxa"/>
                  <w:vMerge w:val="continue"/>
                  <w:vAlign w:val="center"/>
                </w:tcPr>
                <w:p>
                  <w:pPr>
                    <w:pStyle w:val="15"/>
                    <w:spacing w:before="1"/>
                    <w:jc w:val="center"/>
                    <w:rPr>
                      <w:b w:val="0"/>
                      <w:bCs/>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主体工程</w:t>
                  </w:r>
                </w:p>
              </w:tc>
              <w:tc>
                <w:tcPr>
                  <w:tcW w:w="172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办公室</w:t>
                  </w:r>
                </w:p>
              </w:tc>
              <w:tc>
                <w:tcPr>
                  <w:tcW w:w="2500" w:type="dxa"/>
                  <w:vAlign w:val="center"/>
                </w:tcPr>
                <w:p>
                  <w:pPr>
                    <w:spacing w:before="1"/>
                    <w:ind w:left="0" w:leftChars="0" w:right="0" w:rightChars="0"/>
                    <w:jc w:val="center"/>
                    <w:rPr>
                      <w:rFonts w:hint="default"/>
                      <w:b w:val="0"/>
                      <w:bCs/>
                      <w:sz w:val="24"/>
                      <w:vertAlign w:val="baseline"/>
                      <w:lang w:val="en-US" w:eastAsia="zh-CN"/>
                    </w:rPr>
                  </w:pPr>
                  <w:r>
                    <w:rPr>
                      <w:rFonts w:hint="eastAsia"/>
                      <w:b w:val="0"/>
                      <w:bCs/>
                      <w:sz w:val="24"/>
                      <w:vertAlign w:val="baseline"/>
                      <w:lang w:val="en-US" w:eastAsia="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接待区</w:t>
                  </w:r>
                </w:p>
              </w:tc>
              <w:tc>
                <w:tcPr>
                  <w:tcW w:w="250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b w:val="0"/>
                      <w:bCs/>
                      <w:sz w:val="24"/>
                      <w:vertAlign w:val="baseline"/>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生产区</w:t>
                  </w:r>
                </w:p>
              </w:tc>
              <w:tc>
                <w:tcPr>
                  <w:tcW w:w="250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b w:val="0"/>
                      <w:bCs/>
                      <w:sz w:val="24"/>
                      <w:vertAlign w:val="baseline"/>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原料间</w:t>
                  </w:r>
                </w:p>
              </w:tc>
              <w:tc>
                <w:tcPr>
                  <w:tcW w:w="250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b w:val="0"/>
                      <w:bCs/>
                      <w:sz w:val="24"/>
                      <w:vertAlign w:val="baseline"/>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印刷车间</w:t>
                  </w:r>
                </w:p>
              </w:tc>
              <w:tc>
                <w:tcPr>
                  <w:tcW w:w="250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b w:val="0"/>
                      <w:bCs/>
                      <w:sz w:val="24"/>
                      <w:vertAlign w:val="baseline"/>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成品堆放处</w:t>
                  </w:r>
                </w:p>
              </w:tc>
              <w:tc>
                <w:tcPr>
                  <w:tcW w:w="250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b w:val="0"/>
                      <w:bCs/>
                      <w:sz w:val="24"/>
                      <w:vertAlign w:val="baseline"/>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公用辅助工程</w:t>
                  </w:r>
                </w:p>
              </w:tc>
              <w:tc>
                <w:tcPr>
                  <w:tcW w:w="172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厂房通风系统+自然通风+机械通风</w:t>
                  </w:r>
                </w:p>
              </w:tc>
              <w:tc>
                <w:tcPr>
                  <w:tcW w:w="2500" w:type="dxa"/>
                  <w:vAlign w:val="center"/>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通风在生产车间采用自然和机械通风相结合的方式。空调本项目车间设置分体式空调。</w:t>
                  </w:r>
                </w:p>
              </w:tc>
              <w:tc>
                <w:tcPr>
                  <w:tcW w:w="2260" w:type="dxa"/>
                  <w:vAlign w:val="center"/>
                </w:tcPr>
                <w:p>
                  <w:pPr>
                    <w:spacing w:before="1"/>
                    <w:ind w:left="0" w:leftChars="0" w:right="0" w:rightChars="0"/>
                    <w:jc w:val="center"/>
                    <w:rPr>
                      <w:rFonts w:hint="eastAsia"/>
                      <w:b w:val="0"/>
                      <w:bCs/>
                      <w:sz w:val="24"/>
                      <w:vertAlign w:val="baseline"/>
                      <w:lang w:val="en-US" w:eastAsia="zh-CN"/>
                    </w:rPr>
                  </w:pP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top"/>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供水（依托宝信捷公司已有设施）</w:t>
                  </w:r>
                </w:p>
              </w:tc>
              <w:tc>
                <w:tcPr>
                  <w:tcW w:w="2500" w:type="dxa"/>
                  <w:vAlign w:val="center"/>
                </w:tcPr>
                <w:p>
                  <w:pPr>
                    <w:spacing w:before="1"/>
                    <w:ind w:left="0" w:leftChars="0" w:right="0" w:rightChars="0"/>
                    <w:jc w:val="center"/>
                    <w:rPr>
                      <w:rFonts w:hint="eastAsia"/>
                      <w:b w:val="0"/>
                      <w:bCs/>
                      <w:sz w:val="24"/>
                      <w:vertAlign w:val="baseline"/>
                      <w:lang w:val="en-US" w:eastAsia="zh-CN"/>
                    </w:rPr>
                  </w:pPr>
                  <w:r>
                    <w:rPr>
                      <w:rFonts w:ascii="宋体" w:hAnsi="宋体" w:eastAsia="宋体" w:cs="宋体"/>
                      <w:sz w:val="24"/>
                      <w:szCs w:val="24"/>
                      <w:lang w:val="zh-CN" w:eastAsia="zh-CN" w:bidi="zh-CN"/>
                    </w:rPr>
                    <w:t>用水主要为生活用水，项目供水统一由市政供水管网供给</w:t>
                  </w:r>
                  <w:r>
                    <w:rPr>
                      <w:rFonts w:hint="eastAsia" w:cs="宋体"/>
                      <w:sz w:val="24"/>
                      <w:szCs w:val="24"/>
                      <w:lang w:val="zh-CN" w:eastAsia="zh-CN" w:bidi="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top"/>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供配电（依托宝信捷公司已有设施）</w:t>
                  </w:r>
                </w:p>
              </w:tc>
              <w:tc>
                <w:tcPr>
                  <w:tcW w:w="2500" w:type="dxa"/>
                  <w:vAlign w:val="center"/>
                </w:tcPr>
                <w:p>
                  <w:pPr>
                    <w:spacing w:before="1"/>
                    <w:ind w:left="0" w:leftChars="0" w:right="0" w:rightChars="0"/>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t>由园区变电站提供一 路 10Kv 电缆</w:t>
                  </w:r>
                </w:p>
                <w:p>
                  <w:pPr>
                    <w:spacing w:before="1"/>
                    <w:ind w:left="0" w:leftChars="0" w:right="0" w:rightChars="0"/>
                    <w:jc w:val="center"/>
                    <w:rPr>
                      <w:rFonts w:hint="eastAsia"/>
                      <w:b w:val="0"/>
                      <w:bCs/>
                      <w:sz w:val="24"/>
                      <w:vertAlign w:val="baseline"/>
                      <w:lang w:val="en-US" w:eastAsia="zh-CN"/>
                    </w:rPr>
                  </w:pPr>
                  <w:r>
                    <w:rPr>
                      <w:rFonts w:ascii="宋体" w:hAnsi="宋体" w:eastAsia="宋体" w:cs="宋体"/>
                      <w:sz w:val="24"/>
                      <w:szCs w:val="24"/>
                      <w:lang w:val="zh-CN" w:eastAsia="zh-CN" w:bidi="zh-CN"/>
                    </w:rPr>
                    <w:t>专用线，直埋敷设</w:t>
                  </w:r>
                  <w:r>
                    <w:rPr>
                      <w:rFonts w:hint="eastAsia" w:cs="宋体"/>
                      <w:sz w:val="24"/>
                      <w:szCs w:val="24"/>
                      <w:lang w:val="zh-CN" w:eastAsia="zh-CN" w:bidi="zh-CN"/>
                    </w:rPr>
                    <w:t>。</w:t>
                  </w:r>
                </w:p>
              </w:tc>
              <w:tc>
                <w:tcPr>
                  <w:tcW w:w="2260" w:type="dxa"/>
                  <w:vAlign w:val="center"/>
                </w:tcPr>
                <w:p>
                  <w:pPr>
                    <w:spacing w:before="1"/>
                    <w:ind w:left="0" w:leftChars="0" w:right="0" w:rightChars="0"/>
                    <w:jc w:val="center"/>
                    <w:rPr>
                      <w:rFonts w:hint="eastAsia"/>
                      <w:b w:val="0"/>
                      <w:bCs/>
                      <w:sz w:val="24"/>
                      <w:vertAlign w:val="baseline"/>
                      <w:lang w:val="en-US" w:eastAsia="zh-CN"/>
                    </w:rPr>
                  </w:pP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仓储其他</w:t>
                  </w:r>
                </w:p>
              </w:tc>
              <w:tc>
                <w:tcPr>
                  <w:tcW w:w="1720" w:type="dxa"/>
                  <w:vAlign w:val="top"/>
                </w:tcPr>
                <w:p>
                  <w:pPr>
                    <w:pStyle w:val="15"/>
                    <w:spacing w:before="1"/>
                    <w:jc w:val="center"/>
                    <w:rPr>
                      <w:rFonts w:hint="default"/>
                      <w:b w:val="0"/>
                      <w:bCs/>
                      <w:sz w:val="24"/>
                      <w:vertAlign w:val="baseline"/>
                      <w:lang w:val="en-US" w:eastAsia="zh-CN"/>
                    </w:rPr>
                  </w:pPr>
                  <w:r>
                    <w:rPr>
                      <w:rFonts w:hint="eastAsia"/>
                      <w:b w:val="0"/>
                      <w:bCs/>
                      <w:sz w:val="24"/>
                      <w:vertAlign w:val="baseline"/>
                      <w:lang w:val="en-US" w:eastAsia="zh-CN"/>
                    </w:rPr>
                    <w:t>原料房间1间</w:t>
                  </w:r>
                </w:p>
              </w:tc>
              <w:tc>
                <w:tcPr>
                  <w:tcW w:w="2500" w:type="dxa"/>
                  <w:vAlign w:val="center"/>
                </w:tcPr>
                <w:p>
                  <w:pPr>
                    <w:spacing w:before="1"/>
                    <w:ind w:left="0" w:leftChars="0" w:right="0" w:rightChars="0"/>
                    <w:jc w:val="center"/>
                    <w:rPr>
                      <w:rFonts w:hint="default" w:ascii="宋体" w:hAnsi="宋体" w:eastAsia="宋体" w:cs="宋体"/>
                      <w:sz w:val="24"/>
                      <w:szCs w:val="24"/>
                      <w:lang w:val="en-US" w:eastAsia="zh-CN" w:bidi="zh-CN"/>
                    </w:rPr>
                  </w:pPr>
                  <w:r>
                    <w:rPr>
                      <w:rFonts w:hint="eastAsia" w:cs="宋体"/>
                      <w:sz w:val="24"/>
                      <w:szCs w:val="24"/>
                      <w:lang w:val="en-US" w:eastAsia="zh-CN" w:bidi="zh-CN"/>
                    </w:rPr>
                    <w:t>/</w:t>
                  </w:r>
                </w:p>
              </w:tc>
              <w:tc>
                <w:tcPr>
                  <w:tcW w:w="2260" w:type="dxa"/>
                  <w:vAlign w:val="center"/>
                </w:tcPr>
                <w:p>
                  <w:pPr>
                    <w:spacing w:before="1"/>
                    <w:ind w:left="0" w:leftChars="0" w:right="0" w:rightChars="0"/>
                    <w:jc w:val="center"/>
                    <w:rPr>
                      <w:rFonts w:hint="default"/>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top"/>
                </w:tcPr>
                <w:p>
                  <w:pPr>
                    <w:pStyle w:val="15"/>
                    <w:spacing w:before="1"/>
                    <w:jc w:val="center"/>
                    <w:rPr>
                      <w:rFonts w:hint="default"/>
                      <w:b w:val="0"/>
                      <w:bCs/>
                      <w:sz w:val="24"/>
                      <w:vertAlign w:val="baseline"/>
                      <w:lang w:val="en-US" w:eastAsia="zh-CN"/>
                    </w:rPr>
                  </w:pPr>
                  <w:r>
                    <w:rPr>
                      <w:rFonts w:hint="eastAsia"/>
                      <w:b w:val="0"/>
                      <w:bCs/>
                      <w:sz w:val="24"/>
                      <w:vertAlign w:val="baseline"/>
                      <w:lang w:val="en-US" w:eastAsia="zh-CN"/>
                    </w:rPr>
                    <w:t>成品库房1间</w:t>
                  </w:r>
                </w:p>
              </w:tc>
              <w:tc>
                <w:tcPr>
                  <w:tcW w:w="2500" w:type="dxa"/>
                  <w:vAlign w:val="center"/>
                </w:tcPr>
                <w:p>
                  <w:pPr>
                    <w:spacing w:before="1"/>
                    <w:ind w:left="0" w:leftChars="0" w:right="0" w:rightChars="0"/>
                    <w:jc w:val="center"/>
                    <w:rPr>
                      <w:rFonts w:hint="default" w:ascii="宋体" w:hAnsi="宋体" w:eastAsia="宋体" w:cs="宋体"/>
                      <w:sz w:val="24"/>
                      <w:szCs w:val="24"/>
                      <w:lang w:val="en-US" w:eastAsia="zh-CN" w:bidi="zh-CN"/>
                    </w:rPr>
                  </w:pPr>
                  <w:r>
                    <w:rPr>
                      <w:rFonts w:hint="eastAsia" w:cs="宋体"/>
                      <w:sz w:val="24"/>
                      <w:szCs w:val="24"/>
                      <w:lang w:val="en-US" w:eastAsia="zh-CN" w:bidi="zh-CN"/>
                    </w:rPr>
                    <w:t>/</w:t>
                  </w:r>
                </w:p>
              </w:tc>
              <w:tc>
                <w:tcPr>
                  <w:tcW w:w="2260" w:type="dxa"/>
                  <w:vAlign w:val="center"/>
                </w:tcPr>
                <w:p>
                  <w:pPr>
                    <w:spacing w:before="1"/>
                    <w:ind w:left="0" w:leftChars="0" w:right="0" w:rightChars="0"/>
                    <w:jc w:val="center"/>
                    <w:rPr>
                      <w:rFonts w:hint="default"/>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4"/>
                      <w:vertAlign w:val="baseline"/>
                      <w:lang w:val="en-US" w:eastAsia="zh-CN"/>
                    </w:rPr>
                  </w:pPr>
                  <w:r>
                    <w:rPr>
                      <w:rFonts w:hint="eastAsia"/>
                      <w:b w:val="0"/>
                      <w:bCs/>
                      <w:sz w:val="24"/>
                      <w:vertAlign w:val="baseline"/>
                      <w:lang w:val="en-US" w:eastAsia="zh-CN"/>
                    </w:rPr>
                    <w:t>环保工程</w:t>
                  </w:r>
                </w:p>
              </w:tc>
              <w:tc>
                <w:tcPr>
                  <w:tcW w:w="1720" w:type="dxa"/>
                  <w:vAlign w:val="center"/>
                </w:tcPr>
                <w:p>
                  <w:pPr>
                    <w:pStyle w:val="15"/>
                    <w:spacing w:before="1"/>
                    <w:jc w:val="center"/>
                    <w:rPr>
                      <w:rFonts w:hint="default"/>
                      <w:b w:val="0"/>
                      <w:bCs/>
                      <w:sz w:val="24"/>
                      <w:vertAlign w:val="baseline"/>
                      <w:lang w:val="en-US" w:eastAsia="zh-CN"/>
                    </w:rPr>
                  </w:pPr>
                  <w:r>
                    <w:rPr>
                      <w:rFonts w:hint="eastAsia"/>
                      <w:b w:val="0"/>
                      <w:bCs/>
                      <w:sz w:val="24"/>
                      <w:vertAlign w:val="baseline"/>
                      <w:lang w:val="en-US" w:eastAsia="zh-CN"/>
                    </w:rPr>
                    <w:t>有机废气</w:t>
                  </w:r>
                </w:p>
              </w:tc>
              <w:tc>
                <w:tcPr>
                  <w:tcW w:w="2500" w:type="dxa"/>
                  <w:vAlign w:val="center"/>
                </w:tcPr>
                <w:p>
                  <w:pPr>
                    <w:spacing w:before="1"/>
                    <w:ind w:left="0" w:leftChars="0" w:right="0" w:rightChars="0"/>
                    <w:jc w:val="center"/>
                    <w:rPr>
                      <w:rFonts w:hint="default" w:ascii="Times New Roman" w:hAnsi="Times New Roman" w:cs="Times New Roman"/>
                      <w:sz w:val="24"/>
                      <w:szCs w:val="24"/>
                      <w:lang w:val="en-US" w:eastAsia="zh-CN" w:bidi="zh-CN"/>
                    </w:rPr>
                  </w:pPr>
                  <w:r>
                    <w:rPr>
                      <w:rFonts w:hint="default" w:ascii="Times New Roman" w:hAnsi="Times New Roman" w:cs="Times New Roman"/>
                      <w:sz w:val="24"/>
                      <w:szCs w:val="24"/>
                      <w:lang w:val="en-US" w:eastAsia="zh-CN" w:bidi="zh-CN"/>
                    </w:rPr>
                    <w:t>收集并经活性炭过滤后通过15米高排气筒排放</w:t>
                  </w:r>
                </w:p>
              </w:tc>
              <w:tc>
                <w:tcPr>
                  <w:tcW w:w="2260" w:type="dxa"/>
                  <w:vAlign w:val="center"/>
                </w:tcPr>
                <w:p>
                  <w:pPr>
                    <w:spacing w:before="1"/>
                    <w:ind w:left="0" w:leftChars="0" w:right="0" w:rightChars="0"/>
                    <w:jc w:val="center"/>
                    <w:rPr>
                      <w:rFonts w:hint="default" w:ascii="Times New Roman" w:hAnsi="Times New Roman" w:eastAsia="宋体" w:cs="Times New Roman"/>
                      <w:b w:val="0"/>
                      <w:bCs/>
                      <w:sz w:val="24"/>
                      <w:vertAlign w:val="baseline"/>
                      <w:lang w:val="en-US" w:eastAsia="zh-CN"/>
                    </w:rPr>
                  </w:pPr>
                  <w:r>
                    <w:rPr>
                      <w:rFonts w:hint="default" w:ascii="Times New Roman" w:hAnsi="Times New Roman" w:cs="Times New Roman"/>
                      <w:sz w:val="24"/>
                      <w:szCs w:val="24"/>
                      <w:lang w:val="en-US" w:eastAsia="zh-CN" w:bidi="zh-CN"/>
                    </w:rPr>
                    <w:t>集气罩、活性炭吸附装置 1 个、15m高排气筒1套</w:t>
                  </w: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Align w:val="center"/>
                </w:tcPr>
                <w:p>
                  <w:pPr>
                    <w:pStyle w:val="15"/>
                    <w:spacing w:before="1"/>
                    <w:jc w:val="center"/>
                    <w:rPr>
                      <w:rFonts w:hint="default"/>
                      <w:b w:val="0"/>
                      <w:bCs/>
                      <w:sz w:val="24"/>
                      <w:vertAlign w:val="baseline"/>
                      <w:lang w:val="en-US" w:eastAsia="zh-CN"/>
                    </w:rPr>
                  </w:pPr>
                  <w:r>
                    <w:rPr>
                      <w:rFonts w:hint="eastAsia"/>
                      <w:b w:val="0"/>
                      <w:bCs/>
                      <w:sz w:val="24"/>
                      <w:vertAlign w:val="baseline"/>
                      <w:lang w:val="en-US" w:eastAsia="zh-CN"/>
                    </w:rPr>
                    <w:t>废水</w:t>
                  </w:r>
                </w:p>
              </w:tc>
              <w:tc>
                <w:tcPr>
                  <w:tcW w:w="2500" w:type="dxa"/>
                  <w:vAlign w:val="center"/>
                </w:tcPr>
                <w:p>
                  <w:pPr>
                    <w:spacing w:before="1"/>
                    <w:ind w:left="0" w:leftChars="0" w:right="0" w:rightChars="0"/>
                    <w:jc w:val="center"/>
                    <w:rPr>
                      <w:rFonts w:hint="default" w:ascii="Times New Roman" w:hAnsi="Times New Roman" w:cs="Times New Roman"/>
                      <w:sz w:val="24"/>
                      <w:szCs w:val="24"/>
                      <w:lang w:val="en-US" w:eastAsia="zh-CN" w:bidi="zh-CN"/>
                    </w:rPr>
                  </w:pPr>
                  <w:r>
                    <w:rPr>
                      <w:rFonts w:hint="default" w:ascii="Times New Roman" w:hAnsi="Times New Roman" w:cs="Times New Roman"/>
                      <w:sz w:val="24"/>
                      <w:szCs w:val="24"/>
                      <w:lang w:val="en-US" w:eastAsia="zh-CN" w:bidi="zh-CN"/>
                    </w:rPr>
                    <w:t>依托已建的宝信捷污水处理站处理</w:t>
                  </w:r>
                </w:p>
              </w:tc>
              <w:tc>
                <w:tcPr>
                  <w:tcW w:w="2260" w:type="dxa"/>
                  <w:vAlign w:val="center"/>
                </w:tcPr>
                <w:p>
                  <w:pPr>
                    <w:spacing w:before="1"/>
                    <w:ind w:left="0" w:leftChars="0" w:right="0" w:rightChars="0"/>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sz w:val="24"/>
                      <w:szCs w:val="24"/>
                      <w:lang w:val="en-US" w:eastAsia="zh-CN" w:bidi="zh-CN"/>
                    </w:rPr>
                    <w:t>生活污水处理站，处理能力60m</w:t>
                  </w:r>
                  <w:r>
                    <w:rPr>
                      <w:rFonts w:hint="default" w:ascii="Times New Roman" w:hAnsi="Times New Roman" w:cs="Times New Roman"/>
                      <w:sz w:val="24"/>
                      <w:szCs w:val="24"/>
                      <w:vertAlign w:val="superscript"/>
                      <w:lang w:val="en-US" w:eastAsia="zh-CN" w:bidi="zh-CN"/>
                    </w:rPr>
                    <w:t>3</w:t>
                  </w:r>
                  <w:r>
                    <w:rPr>
                      <w:rFonts w:hint="default" w:ascii="Times New Roman" w:hAnsi="Times New Roman" w:cs="Times New Roman"/>
                      <w:sz w:val="24"/>
                      <w:szCs w:val="24"/>
                      <w:lang w:val="en-US" w:eastAsia="zh-CN" w:bidi="zh-CN"/>
                    </w:rPr>
                    <w:t>/d</w:t>
                  </w: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Merge w:val="restart"/>
                  <w:vAlign w:val="center"/>
                </w:tcPr>
                <w:p>
                  <w:pPr>
                    <w:pStyle w:val="15"/>
                    <w:spacing w:before="1"/>
                    <w:jc w:val="center"/>
                    <w:rPr>
                      <w:rFonts w:hint="default"/>
                      <w:b w:val="0"/>
                      <w:bCs/>
                      <w:sz w:val="24"/>
                      <w:vertAlign w:val="baseline"/>
                      <w:lang w:val="en-US" w:eastAsia="zh-CN"/>
                    </w:rPr>
                  </w:pPr>
                  <w:r>
                    <w:rPr>
                      <w:rFonts w:hint="eastAsia"/>
                      <w:b w:val="0"/>
                      <w:bCs/>
                      <w:sz w:val="24"/>
                      <w:vertAlign w:val="baseline"/>
                      <w:lang w:val="en-US" w:eastAsia="zh-CN"/>
                    </w:rPr>
                    <w:t>固废</w:t>
                  </w:r>
                </w:p>
              </w:tc>
              <w:tc>
                <w:tcPr>
                  <w:tcW w:w="2500" w:type="dxa"/>
                  <w:vAlign w:val="center"/>
                </w:tcPr>
                <w:p>
                  <w:pPr>
                    <w:spacing w:before="1"/>
                    <w:ind w:left="0" w:leftChars="0" w:right="0" w:rightChars="0"/>
                    <w:jc w:val="center"/>
                    <w:rPr>
                      <w:rFonts w:hint="default" w:cs="宋体"/>
                      <w:sz w:val="24"/>
                      <w:szCs w:val="24"/>
                      <w:lang w:val="en-US" w:eastAsia="zh-CN" w:bidi="zh-CN"/>
                    </w:rPr>
                  </w:pPr>
                  <w:r>
                    <w:rPr>
                      <w:rFonts w:hint="eastAsia" w:cs="宋体"/>
                      <w:sz w:val="24"/>
                      <w:szCs w:val="24"/>
                      <w:lang w:val="en-US" w:eastAsia="zh-CN" w:bidi="zh-CN"/>
                    </w:rPr>
                    <w:t>生活垃圾：集中收集由环卫清运处理</w:t>
                  </w:r>
                </w:p>
              </w:tc>
              <w:tc>
                <w:tcPr>
                  <w:tcW w:w="2260" w:type="dxa"/>
                  <w:vAlign w:val="center"/>
                </w:tcPr>
                <w:p>
                  <w:pPr>
                    <w:spacing w:before="1"/>
                    <w:ind w:left="0" w:leftChars="0" w:right="0" w:rightChars="0"/>
                    <w:jc w:val="center"/>
                    <w:rPr>
                      <w:rFonts w:hint="default"/>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Merge w:val="continue"/>
                  <w:vAlign w:val="top"/>
                </w:tcPr>
                <w:p>
                  <w:pPr>
                    <w:pStyle w:val="15"/>
                    <w:spacing w:before="1"/>
                    <w:jc w:val="center"/>
                    <w:rPr>
                      <w:rFonts w:hint="eastAsia"/>
                      <w:b w:val="0"/>
                      <w:bCs/>
                      <w:sz w:val="24"/>
                      <w:vertAlign w:val="baseline"/>
                      <w:lang w:val="en-US" w:eastAsia="zh-CN"/>
                    </w:rPr>
                  </w:pPr>
                </w:p>
              </w:tc>
              <w:tc>
                <w:tcPr>
                  <w:tcW w:w="2500" w:type="dxa"/>
                  <w:vAlign w:val="center"/>
                </w:tcPr>
                <w:p>
                  <w:pPr>
                    <w:spacing w:before="1"/>
                    <w:ind w:left="0" w:leftChars="0" w:right="0" w:rightChars="0"/>
                    <w:jc w:val="center"/>
                    <w:rPr>
                      <w:rFonts w:hint="default" w:cs="宋体"/>
                      <w:sz w:val="24"/>
                      <w:szCs w:val="24"/>
                      <w:lang w:val="en-US" w:eastAsia="zh-CN" w:bidi="zh-CN"/>
                    </w:rPr>
                  </w:pPr>
                  <w:r>
                    <w:rPr>
                      <w:rFonts w:hint="eastAsia" w:cs="宋体"/>
                      <w:sz w:val="24"/>
                      <w:szCs w:val="24"/>
                      <w:lang w:val="en-US" w:eastAsia="zh-CN" w:bidi="zh-CN"/>
                    </w:rPr>
                    <w:t>一般生产固废：集中存放，外售处理</w:t>
                  </w:r>
                </w:p>
              </w:tc>
              <w:tc>
                <w:tcPr>
                  <w:tcW w:w="2260" w:type="dxa"/>
                  <w:vAlign w:val="center"/>
                </w:tcPr>
                <w:p>
                  <w:pPr>
                    <w:spacing w:before="1"/>
                    <w:ind w:left="0" w:leftChars="0" w:right="0" w:rightChars="0"/>
                    <w:jc w:val="center"/>
                    <w:rPr>
                      <w:rFonts w:hint="default"/>
                      <w:b w:val="0"/>
                      <w:bCs/>
                      <w:sz w:val="24"/>
                      <w:vertAlign w:val="baseline"/>
                      <w:lang w:val="en-US" w:eastAsia="zh-CN"/>
                    </w:rPr>
                  </w:pPr>
                  <w:r>
                    <w:rPr>
                      <w:rFonts w:hint="eastAsia"/>
                      <w:b w:val="0"/>
                      <w:bCs/>
                      <w:sz w:val="24"/>
                      <w:vertAlign w:val="baseline"/>
                      <w:lang w:val="en-US" w:eastAsia="zh-CN"/>
                    </w:rPr>
                    <w:t>/</w:t>
                  </w: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4"/>
                      <w:vertAlign w:val="baseline"/>
                    </w:rPr>
                  </w:pPr>
                </w:p>
              </w:tc>
              <w:tc>
                <w:tcPr>
                  <w:tcW w:w="1720" w:type="dxa"/>
                  <w:vMerge w:val="continue"/>
                  <w:vAlign w:val="top"/>
                </w:tcPr>
                <w:p>
                  <w:pPr>
                    <w:pStyle w:val="15"/>
                    <w:spacing w:before="1"/>
                    <w:jc w:val="center"/>
                    <w:rPr>
                      <w:rFonts w:hint="eastAsia"/>
                      <w:b w:val="0"/>
                      <w:bCs/>
                      <w:sz w:val="24"/>
                      <w:vertAlign w:val="baseline"/>
                      <w:lang w:val="en-US" w:eastAsia="zh-CN"/>
                    </w:rPr>
                  </w:pPr>
                </w:p>
              </w:tc>
              <w:tc>
                <w:tcPr>
                  <w:tcW w:w="2500" w:type="dxa"/>
                  <w:vAlign w:val="center"/>
                </w:tcPr>
                <w:p>
                  <w:pPr>
                    <w:spacing w:before="1"/>
                    <w:ind w:left="0" w:leftChars="0" w:right="0" w:rightChars="0"/>
                    <w:jc w:val="center"/>
                    <w:rPr>
                      <w:rFonts w:hint="default" w:cs="宋体"/>
                      <w:sz w:val="24"/>
                      <w:szCs w:val="24"/>
                      <w:lang w:val="en-US" w:eastAsia="zh-CN" w:bidi="zh-CN"/>
                    </w:rPr>
                  </w:pPr>
                  <w:r>
                    <w:rPr>
                      <w:rFonts w:hint="eastAsia" w:cs="宋体"/>
                      <w:sz w:val="24"/>
                      <w:szCs w:val="24"/>
                      <w:lang w:val="en-US" w:eastAsia="zh-CN" w:bidi="zh-CN"/>
                    </w:rPr>
                    <w:t>危险废物：暂存后交由有资质的单位处置</w:t>
                  </w:r>
                </w:p>
              </w:tc>
              <w:tc>
                <w:tcPr>
                  <w:tcW w:w="2260" w:type="dxa"/>
                  <w:vAlign w:val="center"/>
                </w:tcPr>
                <w:p>
                  <w:pPr>
                    <w:spacing w:before="1"/>
                    <w:ind w:left="0" w:leftChars="0" w:right="0" w:rightChars="0"/>
                    <w:jc w:val="center"/>
                    <w:rPr>
                      <w:rFonts w:hint="default"/>
                      <w:b w:val="0"/>
                      <w:bCs/>
                      <w:sz w:val="24"/>
                      <w:vertAlign w:val="baseline"/>
                      <w:lang w:val="en-US" w:eastAsia="zh-CN"/>
                    </w:rPr>
                  </w:pPr>
                  <w:r>
                    <w:rPr>
                      <w:rFonts w:hint="eastAsia"/>
                      <w:b w:val="0"/>
                      <w:bCs/>
                      <w:sz w:val="24"/>
                      <w:vertAlign w:val="baseline"/>
                      <w:lang w:val="en-US" w:eastAsia="zh-CN"/>
                    </w:rPr>
                    <w:t>危废暂存间1间（5</w:t>
                  </w:r>
                  <w:r>
                    <w:rPr>
                      <w:rFonts w:ascii="Times New Roman" w:eastAsia="Times New Roman"/>
                      <w:sz w:val="21"/>
                    </w:rPr>
                    <w:t>m</w:t>
                  </w:r>
                  <w:r>
                    <w:rPr>
                      <w:rFonts w:ascii="Times New Roman" w:eastAsia="Times New Roman"/>
                      <w:position w:val="7"/>
                      <w:sz w:val="13"/>
                    </w:rPr>
                    <w:t>2</w:t>
                  </w:r>
                  <w:r>
                    <w:rPr>
                      <w:rFonts w:hint="eastAsia"/>
                      <w:b w:val="0"/>
                      <w:bCs/>
                      <w:sz w:val="24"/>
                      <w:vertAlign w:val="baseline"/>
                      <w:lang w:val="en-US" w:eastAsia="zh-CN"/>
                    </w:rPr>
                    <w:t>）、废物存放桶1批</w:t>
                  </w:r>
                </w:p>
              </w:tc>
              <w:tc>
                <w:tcPr>
                  <w:tcW w:w="1422" w:type="dxa"/>
                  <w:vAlign w:val="center"/>
                </w:tcPr>
                <w:p>
                  <w:pPr>
                    <w:spacing w:before="1"/>
                    <w:ind w:left="0" w:leftChars="0" w:right="0" w:rightChars="0"/>
                    <w:jc w:val="center"/>
                    <w:rPr>
                      <w:rFonts w:hint="eastAsia"/>
                      <w:b w:val="0"/>
                      <w:bCs/>
                      <w:sz w:val="24"/>
                      <w:vertAlign w:val="baseline"/>
                      <w:lang w:val="en-US" w:eastAsia="zh-CN"/>
                    </w:rPr>
                  </w:pPr>
                  <w:r>
                    <w:rPr>
                      <w:rFonts w:hint="eastAsia"/>
                      <w:b w:val="0"/>
                      <w:bCs/>
                      <w:sz w:val="24"/>
                      <w:vertAlign w:val="baseline"/>
                      <w:lang w:val="en-US" w:eastAsia="zh-CN"/>
                    </w:rPr>
                    <w:t>与环评一致</w:t>
                  </w:r>
                </w:p>
              </w:tc>
            </w:tr>
          </w:tbl>
          <w:p>
            <w:pPr>
              <w:pStyle w:val="15"/>
              <w:spacing w:before="1"/>
              <w:ind w:left="586"/>
              <w:rPr>
                <w:b/>
                <w:sz w:val="24"/>
              </w:rPr>
            </w:pPr>
          </w:p>
          <w:p>
            <w:pPr>
              <w:pStyle w:val="15"/>
              <w:spacing w:before="1" w:line="360" w:lineRule="auto"/>
              <w:ind w:left="586"/>
              <w:rPr>
                <w:rFonts w:hint="eastAsia"/>
                <w:b/>
                <w:sz w:val="24"/>
                <w:lang w:val="en-US" w:eastAsia="zh-CN"/>
              </w:rPr>
            </w:pPr>
            <w:r>
              <w:rPr>
                <w:rFonts w:hint="eastAsia"/>
                <w:b/>
                <w:sz w:val="24"/>
                <w:lang w:val="en-US" w:eastAsia="zh-CN"/>
              </w:rPr>
              <w:t>4、主要设备一览表</w:t>
            </w:r>
          </w:p>
          <w:p>
            <w:pPr>
              <w:pStyle w:val="15"/>
              <w:spacing w:before="1" w:line="360" w:lineRule="auto"/>
              <w:ind w:left="586"/>
              <w:rPr>
                <w:rFonts w:hint="default" w:ascii="宋体" w:hAnsi="宋体" w:eastAsia="宋体" w:cs="宋体"/>
                <w:spacing w:val="2"/>
                <w:sz w:val="24"/>
                <w:szCs w:val="24"/>
                <w:lang w:val="en-US" w:eastAsia="zh-CN" w:bidi="zh-CN"/>
              </w:rPr>
            </w:pPr>
            <w:r>
              <w:rPr>
                <w:rFonts w:hint="eastAsia" w:ascii="宋体" w:hAnsi="宋体" w:eastAsia="宋体" w:cs="宋体"/>
                <w:spacing w:val="2"/>
                <w:sz w:val="24"/>
                <w:szCs w:val="24"/>
                <w:lang w:val="en-US" w:eastAsia="zh-CN" w:bidi="zh-CN"/>
              </w:rPr>
              <w:t>本项目主要设备详见表2-4。</w:t>
            </w:r>
          </w:p>
          <w:p>
            <w:pPr>
              <w:pStyle w:val="15"/>
              <w:spacing w:before="1"/>
              <w:ind w:left="586"/>
              <w:jc w:val="center"/>
              <w:rPr>
                <w:rFonts w:hint="default"/>
                <w:b/>
                <w:sz w:val="24"/>
                <w:lang w:val="en-US" w:eastAsia="zh-CN"/>
              </w:rPr>
            </w:pPr>
            <w:r>
              <w:rPr>
                <w:rFonts w:hint="eastAsia"/>
                <w:b w:val="0"/>
                <w:bCs/>
                <w:sz w:val="24"/>
                <w:lang w:val="en-US" w:eastAsia="zh-CN"/>
              </w:rPr>
              <w:t>表2-4 主要设备一览表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3012"/>
              <w:gridCol w:w="2749"/>
              <w:gridCol w:w="1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类型</w:t>
                  </w: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设备名称</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型号</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vMerge w:val="restart"/>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生产设备</w:t>
                  </w: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凸版印刷机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Super-320-5</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vMerge w:val="continue"/>
                  <w:tcBorders>
                    <w:top w:val="nil"/>
                  </w:tcBorders>
                </w:tcPr>
                <w:p>
                  <w:pPr>
                    <w:pStyle w:val="15"/>
                    <w:spacing w:before="1"/>
                    <w:jc w:val="center"/>
                    <w:rPr>
                      <w:rFonts w:hint="eastAsia"/>
                      <w:b w:val="0"/>
                      <w:bCs/>
                      <w:sz w:val="24"/>
                      <w:vertAlign w:val="baseline"/>
                      <w:lang w:val="en-US" w:eastAsia="zh-CN"/>
                    </w:rPr>
                  </w:pP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PS 版印刷机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WJPS-350D</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vMerge w:val="continue"/>
                  <w:tcBorders>
                    <w:top w:val="nil"/>
                  </w:tcBorders>
                </w:tcPr>
                <w:p>
                  <w:pPr>
                    <w:pStyle w:val="15"/>
                    <w:spacing w:before="1"/>
                    <w:jc w:val="center"/>
                    <w:rPr>
                      <w:rFonts w:hint="eastAsia"/>
                      <w:b w:val="0"/>
                      <w:bCs/>
                      <w:sz w:val="24"/>
                      <w:vertAlign w:val="baseline"/>
                      <w:lang w:val="en-US" w:eastAsia="zh-CN"/>
                    </w:rPr>
                  </w:pP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模切机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WJMQ-350KS</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vMerge w:val="continue"/>
                  <w:tcBorders>
                    <w:top w:val="nil"/>
                  </w:tcBorders>
                </w:tcPr>
                <w:p>
                  <w:pPr>
                    <w:pStyle w:val="15"/>
                    <w:spacing w:before="1"/>
                    <w:jc w:val="center"/>
                    <w:rPr>
                      <w:rFonts w:hint="eastAsia"/>
                      <w:b w:val="0"/>
                      <w:bCs/>
                      <w:sz w:val="24"/>
                      <w:vertAlign w:val="baseline"/>
                      <w:lang w:val="en-US" w:eastAsia="zh-CN"/>
                    </w:rPr>
                  </w:pP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分条机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FQ-320</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vMerge w:val="continue"/>
                  <w:tcBorders>
                    <w:top w:val="nil"/>
                  </w:tcBorders>
                </w:tcPr>
                <w:p>
                  <w:pPr>
                    <w:pStyle w:val="15"/>
                    <w:spacing w:before="1"/>
                    <w:jc w:val="center"/>
                    <w:rPr>
                      <w:rFonts w:hint="eastAsia"/>
                      <w:b w:val="0"/>
                      <w:bCs/>
                      <w:sz w:val="24"/>
                      <w:vertAlign w:val="baseline"/>
                      <w:lang w:val="en-US" w:eastAsia="zh-CN"/>
                    </w:rPr>
                  </w:pP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晒版机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YG-320</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vMerge w:val="continue"/>
                  <w:tcBorders>
                    <w:top w:val="nil"/>
                  </w:tcBorders>
                </w:tcPr>
                <w:p>
                  <w:pPr>
                    <w:pStyle w:val="15"/>
                    <w:spacing w:before="1"/>
                    <w:jc w:val="center"/>
                    <w:rPr>
                      <w:rFonts w:hint="eastAsia"/>
                      <w:b w:val="0"/>
                      <w:bCs/>
                      <w:sz w:val="24"/>
                      <w:vertAlign w:val="baseline"/>
                      <w:lang w:val="en-US" w:eastAsia="zh-CN"/>
                    </w:rPr>
                  </w:pP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喷墨机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2263" w:type="dxa"/>
                  <w:vMerge w:val="continue"/>
                  <w:tcBorders>
                    <w:top w:val="nil"/>
                  </w:tcBorders>
                </w:tcPr>
                <w:p>
                  <w:pPr>
                    <w:pStyle w:val="15"/>
                    <w:spacing w:before="1"/>
                    <w:jc w:val="center"/>
                    <w:rPr>
                      <w:rFonts w:hint="eastAsia"/>
                      <w:b w:val="0"/>
                      <w:bCs/>
                      <w:sz w:val="24"/>
                      <w:vertAlign w:val="baseline"/>
                      <w:lang w:val="en-US" w:eastAsia="zh-CN"/>
                    </w:rPr>
                  </w:pP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品检机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LX-320 型</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263"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辅助设备</w:t>
                  </w:r>
                </w:p>
              </w:tc>
              <w:tc>
                <w:tcPr>
                  <w:tcW w:w="3012"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空压机</w:t>
                  </w:r>
                </w:p>
              </w:tc>
              <w:tc>
                <w:tcPr>
                  <w:tcW w:w="2749"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w:t>
                  </w:r>
                </w:p>
              </w:tc>
              <w:tc>
                <w:tcPr>
                  <w:tcW w:w="1294" w:type="dxa"/>
                </w:tcPr>
                <w:p>
                  <w:pPr>
                    <w:pStyle w:val="15"/>
                    <w:spacing w:before="1"/>
                    <w:jc w:val="center"/>
                    <w:rPr>
                      <w:rFonts w:hint="eastAsia"/>
                      <w:b w:val="0"/>
                      <w:bCs/>
                      <w:sz w:val="24"/>
                      <w:vertAlign w:val="baseline"/>
                      <w:lang w:val="en-US" w:eastAsia="zh-CN"/>
                    </w:rPr>
                  </w:pPr>
                  <w:r>
                    <w:rPr>
                      <w:rFonts w:hint="eastAsia"/>
                      <w:b w:val="0"/>
                      <w:bCs/>
                      <w:sz w:val="24"/>
                      <w:vertAlign w:val="baseline"/>
                      <w:lang w:val="en-US" w:eastAsia="zh-CN"/>
                    </w:rPr>
                    <w:t>1</w:t>
                  </w:r>
                </w:p>
              </w:tc>
            </w:tr>
          </w:tbl>
          <w:p>
            <w:pPr>
              <w:pStyle w:val="15"/>
              <w:spacing w:before="1"/>
              <w:ind w:left="586"/>
              <w:rPr>
                <w:b/>
                <w:sz w:val="24"/>
              </w:rPr>
            </w:pPr>
          </w:p>
          <w:p>
            <w:pPr>
              <w:pStyle w:val="5"/>
              <w:spacing w:before="159" w:line="364" w:lineRule="auto"/>
              <w:ind w:left="300" w:right="299" w:firstLine="480"/>
              <w:jc w:val="both"/>
              <w:rPr>
                <w:sz w:val="24"/>
              </w:rPr>
            </w:pPr>
            <w:r>
              <w:rPr>
                <w:rFonts w:hint="eastAsia"/>
                <w:spacing w:val="2"/>
                <w:sz w:val="24"/>
                <w:lang w:val="en-US" w:eastAsia="zh-CN"/>
              </w:rPr>
              <w:t>本项目生产过程中使用到生产设备均不属于《</w:t>
            </w:r>
            <w:r>
              <w:rPr>
                <w:spacing w:val="1"/>
                <w:sz w:val="24"/>
              </w:rPr>
              <w:t xml:space="preserve">产业结构调整指导目录 </w:t>
            </w:r>
            <w:r>
              <w:rPr>
                <w:rFonts w:ascii="Times New Roman" w:eastAsia="Times New Roman"/>
                <w:spacing w:val="-3"/>
                <w:sz w:val="24"/>
              </w:rPr>
              <w:t xml:space="preserve">2011 </w:t>
            </w:r>
            <w:r>
              <w:rPr>
                <w:spacing w:val="-10"/>
                <w:sz w:val="24"/>
              </w:rPr>
              <w:t>年本</w:t>
            </w:r>
            <w:r>
              <w:rPr>
                <w:sz w:val="24"/>
              </w:rPr>
              <w:t>（</w:t>
            </w:r>
            <w:r>
              <w:rPr>
                <w:rFonts w:ascii="Times New Roman" w:eastAsia="Times New Roman"/>
                <w:sz w:val="24"/>
              </w:rPr>
              <w:t xml:space="preserve">2013 </w:t>
            </w:r>
            <w:r>
              <w:rPr>
                <w:sz w:val="24"/>
              </w:rPr>
              <w:t>年修订</w:t>
            </w:r>
            <w:r>
              <w:rPr>
                <w:spacing w:val="-22"/>
                <w:sz w:val="24"/>
              </w:rPr>
              <w:t>）</w:t>
            </w:r>
            <w:r>
              <w:rPr>
                <w:spacing w:val="-8"/>
                <w:sz w:val="24"/>
              </w:rPr>
              <w:t>》及国家明令淘汰用能设备、产品目录中的淘汰落后生产工</w:t>
            </w:r>
            <w:r>
              <w:rPr>
                <w:sz w:val="24"/>
              </w:rPr>
              <w:t>艺装备。</w:t>
            </w:r>
          </w:p>
          <w:p>
            <w:pPr>
              <w:pStyle w:val="15"/>
              <w:spacing w:before="1"/>
              <w:ind w:left="586"/>
              <w:rPr>
                <w:b/>
                <w:sz w:val="24"/>
              </w:rPr>
            </w:pPr>
            <w:r>
              <w:rPr>
                <w:rFonts w:hint="eastAsia"/>
                <w:b/>
                <w:sz w:val="24"/>
                <w:lang w:val="en-US" w:eastAsia="zh-CN"/>
              </w:rPr>
              <w:t>5、</w:t>
            </w:r>
            <w:r>
              <w:rPr>
                <w:b/>
                <w:sz w:val="24"/>
              </w:rPr>
              <w:t>原辅材料及能源消耗</w:t>
            </w:r>
          </w:p>
          <w:p>
            <w:pPr>
              <w:pStyle w:val="15"/>
              <w:numPr>
                <w:ilvl w:val="0"/>
                <w:numId w:val="1"/>
              </w:numPr>
              <w:tabs>
                <w:tab w:val="left" w:pos="1188"/>
              </w:tabs>
              <w:spacing w:before="158" w:after="0" w:line="240" w:lineRule="auto"/>
              <w:ind w:left="1187" w:right="0" w:hanging="602"/>
              <w:jc w:val="left"/>
              <w:rPr>
                <w:b/>
                <w:sz w:val="24"/>
              </w:rPr>
            </w:pPr>
            <w:r>
              <w:rPr>
                <w:b/>
                <w:sz w:val="24"/>
              </w:rPr>
              <w:t>原辅材料及能源消耗</w:t>
            </w:r>
          </w:p>
          <w:p>
            <w:pPr>
              <w:pStyle w:val="15"/>
              <w:spacing w:before="160" w:line="360" w:lineRule="auto"/>
              <w:ind w:left="586"/>
              <w:rPr>
                <w:sz w:val="24"/>
              </w:rPr>
            </w:pPr>
            <w:r>
              <w:rPr>
                <w:sz w:val="24"/>
              </w:rPr>
              <w:t xml:space="preserve">该项目所需的原材料、辅助物料及动力消耗见表 </w:t>
            </w:r>
            <w:r>
              <w:rPr>
                <w:rFonts w:ascii="Times New Roman" w:eastAsia="Times New Roman"/>
                <w:sz w:val="24"/>
              </w:rPr>
              <w:t>2-</w:t>
            </w:r>
            <w:r>
              <w:rPr>
                <w:rFonts w:hint="eastAsia" w:ascii="Times New Roman"/>
                <w:sz w:val="24"/>
                <w:lang w:val="en-US" w:eastAsia="zh-CN"/>
              </w:rPr>
              <w:t>5</w:t>
            </w:r>
            <w:r>
              <w:rPr>
                <w:sz w:val="24"/>
              </w:rPr>
              <w:t>。</w:t>
            </w:r>
          </w:p>
          <w:p>
            <w:pPr>
              <w:pStyle w:val="15"/>
              <w:spacing w:before="1" w:line="360" w:lineRule="auto"/>
              <w:ind w:left="586"/>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lang w:val="en-US" w:eastAsia="zh-CN"/>
              </w:rPr>
              <w:t>表 2-5</w:t>
            </w:r>
            <w:r>
              <w:rPr>
                <w:rFonts w:hint="default" w:ascii="Times New Roman" w:hAnsi="Times New Roman" w:cs="Times New Roman"/>
                <w:b w:val="0"/>
                <w:bCs/>
                <w:sz w:val="24"/>
                <w:lang w:val="en-US" w:eastAsia="zh-CN"/>
              </w:rPr>
              <w:tab/>
            </w:r>
            <w:r>
              <w:rPr>
                <w:rFonts w:hint="default" w:ascii="Times New Roman" w:hAnsi="Times New Roman" w:cs="Times New Roman"/>
                <w:b w:val="0"/>
                <w:bCs/>
                <w:sz w:val="24"/>
                <w:lang w:val="en-US" w:eastAsia="zh-CN"/>
              </w:rPr>
              <w:t>项目主要原辅材料及能源消耗</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089"/>
              <w:gridCol w:w="1030"/>
              <w:gridCol w:w="1560"/>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名称</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组分/规格</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状态</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年用量</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（t/a）</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储存方式</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最大存储</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不干胶标签</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固态</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170</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尼龙袋</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UV环保油墨</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35%~75%的</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丙烯酸酯预聚体、单体及0~40%的颜料</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混合物</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浆状</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0.2</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1kg/2kg 铁桶装/油墨仓库</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油墨助剂</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40%~45%松</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香改性树脂，</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20%~35%干</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性植物油；</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20%~23%高</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沸点石油溶剂</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浆状</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1kg/2kg 铁桶装/油墨仓库</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清洗剂</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20%~30%芳</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烃类，</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20%~30%三</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甲苯类</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液体</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5kg铁桶/防爆柜</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酒精</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100%乙醇</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液体</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10L桶装/防爆柜</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润版液</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1%~10%硝酸铵 ， 50%~60%乙</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二醇单叔丁醚</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液体</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5-10kg塑料桶/防爆柜</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菲林</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固体</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0.015</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档案室</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5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PS版</w:t>
                  </w:r>
                </w:p>
              </w:tc>
              <w:tc>
                <w:tcPr>
                  <w:tcW w:w="208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铝板</w:t>
                  </w:r>
                </w:p>
              </w:tc>
              <w:tc>
                <w:tcPr>
                  <w:tcW w:w="10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固体</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0.03</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档案室</w:t>
                  </w:r>
                </w:p>
              </w:tc>
              <w:tc>
                <w:tcPr>
                  <w:tcW w:w="156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0.015</w:t>
                  </w:r>
                </w:p>
              </w:tc>
            </w:tr>
          </w:tbl>
          <w:p>
            <w:pPr>
              <w:pStyle w:val="15"/>
              <w:rPr>
                <w:sz w:val="22"/>
              </w:rPr>
            </w:pPr>
          </w:p>
          <w:p>
            <w:pPr>
              <w:pStyle w:val="15"/>
              <w:spacing w:before="1"/>
              <w:rPr>
                <w:sz w:val="20"/>
              </w:rPr>
            </w:pPr>
          </w:p>
          <w:p>
            <w:pPr>
              <w:pStyle w:val="15"/>
              <w:numPr>
                <w:ilvl w:val="0"/>
                <w:numId w:val="1"/>
              </w:numPr>
              <w:tabs>
                <w:tab w:val="left" w:pos="1188"/>
              </w:tabs>
              <w:spacing w:before="0" w:after="0" w:line="240" w:lineRule="auto"/>
              <w:ind w:left="1187" w:right="0" w:hanging="602"/>
              <w:jc w:val="left"/>
              <w:rPr>
                <w:b/>
                <w:sz w:val="24"/>
              </w:rPr>
            </w:pPr>
            <w:r>
              <w:rPr>
                <w:b/>
                <w:sz w:val="24"/>
              </w:rPr>
              <w:t>项目劳动定员及工作制度</w:t>
            </w:r>
          </w:p>
          <w:p>
            <w:pPr>
              <w:pStyle w:val="15"/>
              <w:spacing w:before="160"/>
              <w:ind w:left="589" w:right="-29"/>
              <w:rPr>
                <w:sz w:val="24"/>
              </w:rPr>
            </w:pPr>
            <w:r>
              <w:rPr>
                <w:spacing w:val="-7"/>
                <w:sz w:val="24"/>
              </w:rPr>
              <w:t>工作制度：常日班</w:t>
            </w:r>
            <w:r>
              <w:rPr>
                <w:rFonts w:ascii="Times New Roman" w:eastAsia="Times New Roman"/>
                <w:sz w:val="24"/>
              </w:rPr>
              <w:t>8</w:t>
            </w:r>
            <w:r>
              <w:rPr>
                <w:spacing w:val="-7"/>
                <w:sz w:val="24"/>
              </w:rPr>
              <w:t>小时运营制，年工作</w:t>
            </w:r>
            <w:r>
              <w:rPr>
                <w:rFonts w:ascii="Times New Roman" w:eastAsia="Times New Roman"/>
                <w:sz w:val="24"/>
              </w:rPr>
              <w:t>250</w:t>
            </w:r>
            <w:r>
              <w:rPr>
                <w:spacing w:val="-8"/>
                <w:sz w:val="24"/>
              </w:rPr>
              <w:t>天，年运行时数</w:t>
            </w:r>
            <w:r>
              <w:rPr>
                <w:rFonts w:ascii="Times New Roman" w:eastAsia="Times New Roman"/>
                <w:sz w:val="24"/>
              </w:rPr>
              <w:t>2000</w:t>
            </w:r>
            <w:r>
              <w:rPr>
                <w:spacing w:val="-5"/>
                <w:sz w:val="24"/>
              </w:rPr>
              <w:t>小时。</w:t>
            </w:r>
          </w:p>
          <w:p>
            <w:pPr>
              <w:pStyle w:val="15"/>
              <w:spacing w:before="160"/>
              <w:ind w:left="589" w:right="-29"/>
              <w:rPr>
                <w:rFonts w:ascii="Times New Roman" w:eastAsia="Times New Roman"/>
                <w:sz w:val="24"/>
              </w:rPr>
            </w:pPr>
            <w:r>
              <w:rPr>
                <w:sz w:val="24"/>
              </w:rPr>
              <w:t>劳动定员：项目共有劳动</w:t>
            </w:r>
            <w:r>
              <w:rPr>
                <w:rFonts w:ascii="Times New Roman" w:eastAsia="Times New Roman"/>
                <w:sz w:val="24"/>
              </w:rPr>
              <w:t>人员25人。</w:t>
            </w:r>
          </w:p>
          <w:p>
            <w:pPr>
              <w:pStyle w:val="15"/>
              <w:spacing w:before="160"/>
              <w:ind w:left="589" w:right="-29"/>
              <w:rPr>
                <w:sz w:val="24"/>
              </w:rPr>
            </w:pPr>
            <w:r>
              <w:rPr>
                <w:rFonts w:ascii="Times New Roman" w:eastAsia="Times New Roman"/>
                <w:sz w:val="24"/>
              </w:rPr>
              <w:t>本项目不在企业内食宿。</w:t>
            </w:r>
          </w:p>
          <w:p>
            <w:pPr>
              <w:pStyle w:val="15"/>
              <w:spacing w:before="1"/>
              <w:ind w:left="586"/>
              <w:rPr>
                <w:b/>
                <w:sz w:val="24"/>
              </w:rPr>
            </w:pPr>
          </w:p>
          <w:p>
            <w:pPr>
              <w:pStyle w:val="15"/>
              <w:spacing w:before="1"/>
              <w:ind w:left="586"/>
              <w:rPr>
                <w:rFonts w:hint="eastAsia"/>
                <w:b/>
                <w:sz w:val="24"/>
                <w:lang w:val="en-US" w:eastAsia="zh-CN"/>
              </w:rPr>
            </w:pPr>
            <w:r>
              <w:rPr>
                <w:rFonts w:hint="eastAsia"/>
                <w:b/>
                <w:sz w:val="24"/>
                <w:lang w:val="en-US" w:eastAsia="zh-CN"/>
              </w:rPr>
              <w:t>6、环保投资情况</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本项目总投资300万元，项目资金由业主方自筹，其中环保投资约9.0万元，占总投资的3%。各环保设施组成及投资估算详见表2-6。</w:t>
            </w:r>
          </w:p>
          <w:p>
            <w:pPr>
              <w:pStyle w:val="5"/>
              <w:spacing w:before="159" w:line="364" w:lineRule="auto"/>
              <w:ind w:left="300" w:right="299" w:firstLine="480"/>
              <w:jc w:val="center"/>
              <w:rPr>
                <w:rFonts w:hint="default"/>
                <w:spacing w:val="2"/>
                <w:sz w:val="24"/>
                <w:lang w:val="en-US" w:eastAsia="zh-CN"/>
              </w:rPr>
            </w:pPr>
            <w:r>
              <w:rPr>
                <w:rFonts w:hint="eastAsia"/>
                <w:spacing w:val="2"/>
                <w:sz w:val="24"/>
                <w:lang w:val="en-US" w:eastAsia="zh-CN"/>
              </w:rPr>
              <w:t>表2-6  环保工程投资一览表</w:t>
            </w:r>
          </w:p>
          <w:tbl>
            <w:tblPr>
              <w:tblStyle w:val="10"/>
              <w:tblW w:w="93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9"/>
              <w:gridCol w:w="2338"/>
              <w:gridCol w:w="3230"/>
              <w:gridCol w:w="774"/>
              <w:gridCol w:w="1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19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治理对象</w:t>
                  </w: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环保设施</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数量</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jc w:val="center"/>
              </w:trPr>
              <w:tc>
                <w:tcPr>
                  <w:tcW w:w="1199"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废气</w:t>
                  </w: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VOCs、乙醇</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集气罩、活性炭吸附装置、</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15m 高排气筒（高于楼顶 2m）</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19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噪声</w:t>
                  </w: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设备噪声</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减振垫</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199"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废水</w:t>
                  </w: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依托贵州宝信捷投资有限公</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司污水管网及污水处理站</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3" w:hRule="atLeast"/>
                <w:jc w:val="center"/>
              </w:trPr>
              <w:tc>
                <w:tcPr>
                  <w:tcW w:w="1199" w:type="dxa"/>
                  <w:vMerge w:val="restart"/>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固体废物</w:t>
                  </w: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废弃包装袋、不合格</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产品、裁剪废纸屑</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收集箱</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2</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jc w:val="center"/>
              </w:trPr>
              <w:tc>
                <w:tcPr>
                  <w:tcW w:w="1199" w:type="dxa"/>
                  <w:vMerge w:val="continue"/>
                  <w:tcBorders>
                    <w:top w:val="nil"/>
                  </w:tcBorders>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橡皮布清洗废液</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废液桶</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2</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199" w:type="dxa"/>
                  <w:vMerge w:val="continue"/>
                  <w:tcBorders>
                    <w:top w:val="nil"/>
                  </w:tcBorders>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危险废物收集桶</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废弃油墨、废油墨桶等</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5</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199" w:type="dxa"/>
                  <w:vMerge w:val="continue"/>
                  <w:tcBorders>
                    <w:top w:val="nil"/>
                  </w:tcBorders>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危险废物暂存间</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（5m2）</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统一暂存项目产生的危险废</w:t>
                  </w: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物</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1</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199" w:type="dxa"/>
                  <w:vMerge w:val="continue"/>
                  <w:tcBorders>
                    <w:top w:val="nil"/>
                  </w:tcBorders>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生活垃圾</w:t>
                  </w: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垃圾桶</w:t>
                  </w: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4</w:t>
                  </w: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1199"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合计</w:t>
                  </w:r>
                </w:p>
              </w:tc>
              <w:tc>
                <w:tcPr>
                  <w:tcW w:w="2338" w:type="dxa"/>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3230" w:type="dxa"/>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774" w:type="dxa"/>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1796"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9.0</w:t>
                  </w:r>
                </w:p>
              </w:tc>
            </w:tr>
          </w:tbl>
          <w:p>
            <w:pPr>
              <w:pStyle w:val="5"/>
              <w:spacing w:before="159" w:line="364" w:lineRule="auto"/>
              <w:ind w:left="300" w:right="299" w:firstLine="480"/>
              <w:jc w:val="both"/>
              <w:rPr>
                <w:rFonts w:hint="eastAsia" w:cs="宋体"/>
                <w:b/>
                <w:sz w:val="24"/>
                <w:szCs w:val="22"/>
                <w:lang w:val="en-US" w:eastAsia="zh-CN" w:bidi="zh-CN"/>
              </w:rPr>
            </w:pPr>
            <w:r>
              <w:rPr>
                <w:rFonts w:hint="eastAsia" w:ascii="宋体" w:hAnsi="宋体" w:eastAsia="宋体" w:cs="宋体"/>
                <w:b/>
                <w:sz w:val="24"/>
                <w:szCs w:val="22"/>
                <w:lang w:val="en-US" w:eastAsia="zh-CN" w:bidi="zh-CN"/>
              </w:rPr>
              <w:t>7</w:t>
            </w:r>
            <w:r>
              <w:rPr>
                <w:rFonts w:hint="eastAsia" w:cs="宋体"/>
                <w:b/>
                <w:sz w:val="24"/>
                <w:szCs w:val="22"/>
                <w:lang w:val="en-US" w:eastAsia="zh-CN" w:bidi="zh-CN"/>
              </w:rPr>
              <w:t>、项目主要工艺流程及产物环节</w:t>
            </w:r>
          </w:p>
          <w:p>
            <w:pPr>
              <w:pStyle w:val="5"/>
              <w:spacing w:before="159" w:line="364" w:lineRule="auto"/>
              <w:ind w:left="300" w:right="299" w:firstLine="480"/>
              <w:jc w:val="both"/>
              <w:rPr>
                <w:rFonts w:hint="eastAsia" w:cs="宋体"/>
                <w:b/>
                <w:sz w:val="24"/>
                <w:szCs w:val="22"/>
                <w:lang w:val="en-US" w:eastAsia="zh-CN" w:bidi="zh-CN"/>
              </w:rPr>
            </w:pPr>
            <w:r>
              <w:rPr>
                <w:rFonts w:hint="eastAsia" w:cs="宋体"/>
                <w:b/>
                <w:sz w:val="24"/>
                <w:szCs w:val="22"/>
                <w:lang w:val="en-US" w:eastAsia="zh-CN" w:bidi="zh-CN"/>
              </w:rPr>
              <w:t>（1）不干胶标签生产工艺流程</w:t>
            </w:r>
          </w:p>
          <w:p>
            <w:pPr>
              <w:pStyle w:val="5"/>
              <w:spacing w:before="159" w:line="364" w:lineRule="auto"/>
              <w:ind w:left="300" w:right="299" w:firstLine="480"/>
              <w:jc w:val="both"/>
              <w:rPr>
                <w:rFonts w:hint="default" w:ascii="Times New Roman" w:hAnsi="Times New Roman" w:cs="Times New Roman"/>
                <w:b w:val="0"/>
                <w:bCs/>
                <w:sz w:val="24"/>
                <w:szCs w:val="22"/>
                <w:lang w:val="en-US" w:eastAsia="zh-CN" w:bidi="zh-CN"/>
              </w:rPr>
            </w:pPr>
            <w:r>
              <w:rPr>
                <w:rFonts w:hint="default" w:ascii="Times New Roman" w:hAnsi="Times New Roman" w:cs="Times New Roman"/>
                <w:b w:val="0"/>
                <w:bCs/>
                <w:sz w:val="24"/>
                <w:szCs w:val="22"/>
                <w:lang w:val="en-US" w:eastAsia="zh-CN" w:bidi="zh-CN"/>
              </w:rPr>
              <w:t>不干胶标签生产工艺流程详见图2-1。</w:t>
            </w:r>
          </w:p>
          <w:p>
            <w:pPr>
              <w:pStyle w:val="5"/>
              <w:spacing w:before="159" w:line="364" w:lineRule="auto"/>
              <w:ind w:left="300" w:right="299" w:firstLine="480"/>
              <w:jc w:val="both"/>
              <w:rPr>
                <w:rFonts w:hint="default" w:cs="宋体"/>
                <w:b/>
                <w:sz w:val="24"/>
                <w:szCs w:val="22"/>
                <w:lang w:val="en-US" w:eastAsia="zh-CN" w:bidi="zh-CN"/>
              </w:rPr>
            </w:pPr>
          </w:p>
          <w:p>
            <w:pPr>
              <w:pStyle w:val="5"/>
              <w:spacing w:before="159" w:line="364" w:lineRule="auto"/>
              <w:ind w:left="300" w:right="299" w:firstLine="480"/>
              <w:jc w:val="both"/>
              <w:rPr>
                <w:rFonts w:hint="default" w:cs="宋体"/>
                <w:b/>
                <w:sz w:val="24"/>
                <w:szCs w:val="22"/>
                <w:lang w:val="en-US" w:eastAsia="zh-CN" w:bidi="zh-CN"/>
              </w:rPr>
            </w:pPr>
          </w:p>
          <w:p>
            <w:pPr>
              <w:pStyle w:val="5"/>
              <w:spacing w:before="159" w:line="364" w:lineRule="auto"/>
              <w:ind w:right="299"/>
              <w:jc w:val="both"/>
              <w:rPr>
                <w:rFonts w:hint="default" w:cs="宋体"/>
                <w:b/>
                <w:sz w:val="24"/>
                <w:szCs w:val="22"/>
                <w:lang w:val="en-US" w:eastAsia="zh-CN" w:bidi="zh-CN"/>
              </w:rPr>
            </w:pPr>
            <w:r>
              <w:drawing>
                <wp:inline distT="0" distB="0" distL="114300" distR="114300">
                  <wp:extent cx="5962015" cy="791464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962015" cy="7914640"/>
                          </a:xfrm>
                          <a:prstGeom prst="rect">
                            <a:avLst/>
                          </a:prstGeom>
                          <a:noFill/>
                          <a:ln>
                            <a:noFill/>
                          </a:ln>
                        </pic:spPr>
                      </pic:pic>
                    </a:graphicData>
                  </a:graphic>
                </wp:inline>
              </w:drawing>
            </w:r>
          </w:p>
          <w:p>
            <w:pPr>
              <w:pStyle w:val="15"/>
              <w:spacing w:before="1"/>
              <w:ind w:left="586"/>
              <w:jc w:val="center"/>
              <w:rPr>
                <w:rFonts w:hint="default" w:eastAsia="宋体"/>
                <w:b w:val="0"/>
                <w:bCs/>
                <w:sz w:val="24"/>
                <w:lang w:val="en-US" w:eastAsia="zh-CN"/>
              </w:rPr>
            </w:pPr>
            <w:r>
              <w:rPr>
                <w:rFonts w:hint="eastAsia"/>
                <w:b w:val="0"/>
                <w:bCs/>
                <w:sz w:val="24"/>
                <w:lang w:val="en-US" w:eastAsia="zh-CN"/>
              </w:rPr>
              <w:t>图2-1 不干胶标签生产生产工艺流程图</w:t>
            </w:r>
          </w:p>
          <w:p>
            <w:pPr>
              <w:pStyle w:val="15"/>
              <w:spacing w:before="1"/>
              <w:ind w:left="586"/>
              <w:rPr>
                <w:rFonts w:hint="eastAsia"/>
                <w:b w:val="0"/>
                <w:bCs/>
                <w:sz w:val="24"/>
                <w:lang w:val="en-US" w:eastAsia="zh-CN"/>
              </w:rPr>
            </w:pPr>
            <w:r>
              <w:rPr>
                <w:rFonts w:hint="eastAsia"/>
                <w:b w:val="0"/>
                <w:bCs/>
                <w:sz w:val="24"/>
                <w:lang w:val="en-US" w:eastAsia="zh-CN"/>
              </w:rPr>
              <w:t>工艺流程说明：</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晒版：迁建项目所用的菲林、树脂版为外购，公司将根据客户的需求将印刷内容发送到菲林制作厂家，然后将取回的菲林和树脂版放在全自动晒版机进行曝光。该工序不使用显影液，会有废菲林（S2）产生，其中废树脂版经收集后交由资质单位处理，废菲林由供应商回收。</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印标：将不干胶标签置于印刷机内将油墨印刷于不干胶标签表面，印刷温度自动控制，印完后自然冷却。印刷使用印刷溶剂由人工进行调配，调配过程中将油墨、油墨助剂按照一定的比例进行混合，在专门的油墨调配桶内完成印刷溶剂的调配。根据不同的客户需求，采用不同的印刷机（PS 版印刷机、斜背机）在不干胶表面进行印标，项目印标工序属于胶印。印刷过程中会产生印刷废气 G1： VOCs，产生危险废物 S4：废油墨罐；S5：废树脂版、废 PS 版。</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擦拭、清洗：迁建项目印刷机辊清洗，采用擦拭的方式，项目以清洗剂作为溶剂， 使用抹布进行擦拭，此过程中产生废擦拭抹布 S3。另外，当印刷机需要检修或者保养时，先用强力清洗剂擦拭清洗，再使用酒精进行擦拭，此过程中产生有机废气 G2：VOCs，G3：乙醇。</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模切：将印刷冷却后的不干胶标签通过模切机进行切边，此过程中产生一般固废 S6：废边角料。</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分条：将模切后的不干胶标签带通过分条机纵切成若干所需规格的标签带条，此过程中产生废边料 S7。</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检验：通过品检机对上述标签带条进行检验，最后进行包装入库。此过程产生不合格品 S8。</w:t>
            </w:r>
          </w:p>
          <w:p>
            <w:pPr>
              <w:pStyle w:val="5"/>
              <w:spacing w:before="159" w:line="364" w:lineRule="auto"/>
              <w:ind w:left="300" w:right="299" w:firstLine="480"/>
              <w:jc w:val="both"/>
              <w:rPr>
                <w:rFonts w:hint="eastAsia" w:cs="宋体"/>
                <w:b/>
                <w:sz w:val="24"/>
                <w:szCs w:val="22"/>
                <w:lang w:val="en-US" w:eastAsia="zh-CN" w:bidi="zh-CN"/>
              </w:rPr>
            </w:pPr>
            <w:r>
              <w:rPr>
                <w:rFonts w:hint="eastAsia" w:cs="宋体"/>
                <w:b/>
                <w:sz w:val="24"/>
                <w:szCs w:val="22"/>
                <w:lang w:val="en-US" w:eastAsia="zh-CN" w:bidi="zh-CN"/>
              </w:rPr>
              <w:t>（2）产物环节分析</w:t>
            </w:r>
          </w:p>
          <w:p>
            <w:pPr>
              <w:pStyle w:val="5"/>
              <w:spacing w:before="159" w:line="364" w:lineRule="auto"/>
              <w:ind w:left="300" w:right="299" w:firstLine="480"/>
              <w:jc w:val="both"/>
              <w:rPr>
                <w:rFonts w:hint="default" w:ascii="Times New Roman" w:hAnsi="Times New Roman" w:cs="Times New Roman"/>
                <w:b w:val="0"/>
                <w:bCs/>
                <w:sz w:val="24"/>
                <w:szCs w:val="22"/>
                <w:lang w:val="en-US" w:eastAsia="zh-CN" w:bidi="zh-CN"/>
              </w:rPr>
            </w:pPr>
            <w:r>
              <w:rPr>
                <w:rFonts w:hint="default" w:ascii="Times New Roman" w:hAnsi="Times New Roman" w:cs="Times New Roman"/>
                <w:b w:val="0"/>
                <w:bCs/>
                <w:sz w:val="24"/>
                <w:szCs w:val="22"/>
                <w:lang w:val="en-US" w:eastAsia="zh-CN" w:bidi="zh-CN"/>
              </w:rPr>
              <w:t>项目产物情况详见表2-7。</w:t>
            </w:r>
          </w:p>
          <w:p>
            <w:pPr>
              <w:pStyle w:val="5"/>
              <w:spacing w:before="159" w:line="364" w:lineRule="auto"/>
              <w:ind w:left="300" w:right="299" w:firstLine="480"/>
              <w:jc w:val="center"/>
              <w:rPr>
                <w:rFonts w:hint="default" w:ascii="Times New Roman" w:hAnsi="Times New Roman" w:cs="Times New Roman"/>
                <w:b w:val="0"/>
                <w:bCs/>
                <w:sz w:val="24"/>
                <w:szCs w:val="22"/>
                <w:lang w:val="en-US" w:eastAsia="zh-CN" w:bidi="zh-CN"/>
              </w:rPr>
            </w:pPr>
            <w:r>
              <w:rPr>
                <w:rFonts w:hint="eastAsia" w:ascii="Times New Roman" w:hAnsi="Times New Roman" w:cs="Times New Roman"/>
                <w:b w:val="0"/>
                <w:bCs/>
                <w:sz w:val="24"/>
                <w:szCs w:val="22"/>
                <w:lang w:val="en-US" w:eastAsia="zh-CN" w:bidi="zh-CN"/>
              </w:rPr>
              <w:t>表2-7 产物情况一览表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420"/>
              <w:gridCol w:w="1500"/>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项目</w:t>
                  </w: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产污工序</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名称</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Merge w:val="restart"/>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废气</w:t>
                  </w: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印刷</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G1</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印刷废气（VOCs）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擦拭</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G2</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擦拭废气（VOCs、乙醇）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atLeast"/>
                <w:jc w:val="center"/>
              </w:trPr>
              <w:tc>
                <w:tcPr>
                  <w:tcW w:w="1867"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废水</w:t>
                  </w: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生活污水</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W1</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生活污水（COD、SS、NH3-N、TP）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atLeast"/>
                <w:jc w:val="center"/>
              </w:trPr>
              <w:tc>
                <w:tcPr>
                  <w:tcW w:w="1867" w:type="dxa"/>
                  <w:vMerge w:val="restart"/>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固废</w:t>
                  </w: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原材料拆包</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S1</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晒版</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S2</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废菲林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擦拭、清洗</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S3</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废含油抹布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印刷、擦拭、清洗</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p>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S4</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各类化学品空桶、废油墨罐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印刷</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S5</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 PS 版、废树脂版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模切、分条</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S6、S7</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品检</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S8</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不合格品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废气处理</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S9</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67" w:type="dxa"/>
                  <w:vMerge w:val="continue"/>
                  <w:vAlign w:val="center"/>
                </w:tcPr>
                <w:p>
                  <w:pPr>
                    <w:pStyle w:val="15"/>
                    <w:spacing w:before="1"/>
                    <w:jc w:val="center"/>
                    <w:rPr>
                      <w:rFonts w:hint="default" w:ascii="Times New Roman" w:hAnsi="Times New Roman" w:cs="Times New Roman"/>
                      <w:b w:val="0"/>
                      <w:bCs/>
                      <w:sz w:val="24"/>
                      <w:vertAlign w:val="baseline"/>
                      <w:lang w:val="en-US" w:eastAsia="zh-CN"/>
                    </w:rPr>
                  </w:pPr>
                </w:p>
              </w:tc>
              <w:tc>
                <w:tcPr>
                  <w:tcW w:w="242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办公</w:t>
                  </w:r>
                </w:p>
              </w:tc>
              <w:tc>
                <w:tcPr>
                  <w:tcW w:w="1500"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S10</w:t>
                  </w:r>
                </w:p>
              </w:tc>
              <w:tc>
                <w:tcPr>
                  <w:tcW w:w="3613"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67" w:type="dxa"/>
                  <w:vAlign w:val="center"/>
                </w:tcPr>
                <w:p>
                  <w:pPr>
                    <w:pStyle w:val="15"/>
                    <w:spacing w:before="1"/>
                    <w:jc w:val="center"/>
                    <w:rPr>
                      <w:rFonts w:hint="default" w:ascii="Times New Roman" w:hAnsi="Times New Roman" w:cs="Times New Roman"/>
                      <w:b w:val="0"/>
                      <w:bCs/>
                      <w:sz w:val="24"/>
                      <w:vertAlign w:val="baseline"/>
                      <w:lang w:val="en-US" w:eastAsia="zh-CN"/>
                    </w:rPr>
                  </w:pPr>
                  <w:r>
                    <w:rPr>
                      <w:rFonts w:hint="default" w:ascii="Times New Roman" w:hAnsi="Times New Roman" w:cs="Times New Roman"/>
                      <w:b w:val="0"/>
                      <w:bCs/>
                      <w:sz w:val="24"/>
                      <w:vertAlign w:val="baseline"/>
                      <w:lang w:val="en-US" w:eastAsia="zh-CN"/>
                    </w:rPr>
                    <w:t>噪声</w:t>
                  </w:r>
                </w:p>
              </w:tc>
              <w:tc>
                <w:tcPr>
                  <w:tcW w:w="7533" w:type="dxa"/>
                  <w:gridSpan w:val="3"/>
                  <w:vAlign w:val="center"/>
                </w:tcPr>
                <w:p>
                  <w:pPr>
                    <w:pStyle w:val="15"/>
                    <w:spacing w:before="1"/>
                    <w:jc w:val="center"/>
                    <w:rPr>
                      <w:rFonts w:hint="default" w:ascii="Times New Roman" w:hAnsi="Times New Roman" w:cs="Times New Roman"/>
                      <w:b w:val="0"/>
                      <w:bCs/>
                      <w:sz w:val="24"/>
                      <w:vertAlign w:val="baseline"/>
                      <w:lang w:val="zh-CN" w:eastAsia="zh-CN"/>
                    </w:rPr>
                  </w:pPr>
                  <w:r>
                    <w:rPr>
                      <w:rFonts w:hint="default" w:ascii="Times New Roman" w:hAnsi="Times New Roman" w:cs="Times New Roman"/>
                      <w:b w:val="0"/>
                      <w:bCs/>
                      <w:sz w:val="24"/>
                      <w:vertAlign w:val="baseline"/>
                      <w:lang w:val="en-US" w:eastAsia="zh-CN"/>
                    </w:rPr>
                    <w:t>印刷机、模切机、晒版机、空压机等设备运行</w:t>
                  </w:r>
                </w:p>
              </w:tc>
            </w:tr>
          </w:tbl>
          <w:p>
            <w:pPr>
              <w:pStyle w:val="5"/>
              <w:spacing w:before="159" w:line="364" w:lineRule="auto"/>
              <w:ind w:left="300" w:right="299" w:firstLine="480"/>
              <w:jc w:val="both"/>
              <w:rPr>
                <w:rFonts w:hint="eastAsia" w:ascii="宋体" w:hAnsi="宋体" w:eastAsia="宋体" w:cs="宋体"/>
                <w:b/>
                <w:sz w:val="24"/>
                <w:szCs w:val="22"/>
                <w:lang w:val="en-US" w:eastAsia="zh-CN" w:bidi="zh-CN"/>
              </w:rPr>
            </w:pPr>
            <w:r>
              <w:rPr>
                <w:rFonts w:hint="eastAsia" w:ascii="宋体" w:hAnsi="宋体" w:eastAsia="宋体" w:cs="宋体"/>
                <w:b/>
                <w:sz w:val="24"/>
                <w:szCs w:val="22"/>
                <w:lang w:val="en-US" w:eastAsia="zh-CN" w:bidi="zh-CN"/>
              </w:rPr>
              <w:t>8、项目变动情况</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经过现场踏勘、调查与项目环评报告表及批复文件进行核对，项目具体变动情况如下：</w:t>
            </w:r>
          </w:p>
          <w:p>
            <w:pPr>
              <w:pStyle w:val="5"/>
              <w:spacing w:before="159" w:line="364" w:lineRule="auto"/>
              <w:ind w:left="300" w:right="299" w:firstLine="480"/>
              <w:jc w:val="both"/>
              <w:rPr>
                <w:rFonts w:hint="default"/>
                <w:spacing w:val="2"/>
                <w:sz w:val="24"/>
                <w:lang w:val="en-US" w:eastAsia="zh-CN"/>
              </w:rPr>
            </w:pPr>
            <w:r>
              <w:rPr>
                <w:rFonts w:hint="eastAsia"/>
                <w:spacing w:val="2"/>
                <w:sz w:val="24"/>
                <w:lang w:val="en-US" w:eastAsia="zh-CN"/>
              </w:rPr>
              <w:t>（1）</w:t>
            </w:r>
            <w:r>
              <w:rPr>
                <w:rFonts w:hint="default"/>
                <w:spacing w:val="2"/>
                <w:sz w:val="24"/>
                <w:lang w:val="en-US" w:eastAsia="zh-CN"/>
              </w:rPr>
              <w:t>该项目的实际建设内容与环评过程基本一致，无变化。</w:t>
            </w:r>
          </w:p>
          <w:p>
            <w:pPr>
              <w:pStyle w:val="5"/>
              <w:spacing w:before="159" w:line="364" w:lineRule="auto"/>
              <w:ind w:left="300" w:right="299" w:firstLine="480"/>
              <w:jc w:val="both"/>
              <w:rPr>
                <w:rFonts w:hint="default"/>
                <w:spacing w:val="2"/>
                <w:sz w:val="24"/>
                <w:lang w:val="en-US" w:eastAsia="zh-CN"/>
              </w:rPr>
            </w:pPr>
            <w:r>
              <w:rPr>
                <w:rFonts w:hint="eastAsia"/>
                <w:spacing w:val="2"/>
                <w:sz w:val="24"/>
                <w:lang w:val="en-US" w:eastAsia="zh-CN"/>
              </w:rPr>
              <w:t>（2）</w:t>
            </w:r>
            <w:r>
              <w:rPr>
                <w:rFonts w:hint="default"/>
                <w:spacing w:val="2"/>
                <w:sz w:val="24"/>
                <w:lang w:val="en-US" w:eastAsia="zh-CN"/>
              </w:rPr>
              <w:t>该项目实际劳动定员及工作制度与环评阶段一致。</w:t>
            </w:r>
          </w:p>
          <w:p>
            <w:pPr>
              <w:pStyle w:val="5"/>
              <w:spacing w:before="159" w:line="364" w:lineRule="auto"/>
              <w:ind w:left="300" w:right="299" w:firstLine="480"/>
              <w:jc w:val="both"/>
              <w:rPr>
                <w:rFonts w:hint="default"/>
                <w:spacing w:val="2"/>
                <w:sz w:val="24"/>
                <w:lang w:val="en-US" w:eastAsia="zh-CN"/>
              </w:rPr>
            </w:pPr>
            <w:r>
              <w:rPr>
                <w:rFonts w:hint="eastAsia"/>
                <w:spacing w:val="2"/>
                <w:sz w:val="24"/>
                <w:lang w:val="en-US" w:eastAsia="zh-CN"/>
              </w:rPr>
              <w:t>（3）</w:t>
            </w:r>
            <w:r>
              <w:rPr>
                <w:rFonts w:hint="default"/>
                <w:spacing w:val="2"/>
                <w:sz w:val="24"/>
                <w:lang w:val="en-US" w:eastAsia="zh-CN"/>
              </w:rPr>
              <w:t>该项目实际主要设备与环评阶段基本一致。</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根据项目变化情况，对照《污染影响类建设项目重大变动清单（试行）》（环办环评函〔2020〕688 号），本项目的变化情况不属于重大变动。</w:t>
            </w:r>
          </w:p>
          <w:p>
            <w:pPr>
              <w:pStyle w:val="5"/>
              <w:spacing w:before="159" w:line="364" w:lineRule="auto"/>
              <w:ind w:left="300" w:right="299" w:firstLine="480"/>
              <w:jc w:val="both"/>
              <w:rPr>
                <w:rFonts w:hint="default"/>
                <w:spacing w:val="2"/>
                <w:sz w:val="24"/>
                <w:lang w:val="en-US" w:eastAsia="zh-CN"/>
              </w:rPr>
            </w:pPr>
          </w:p>
          <w:p>
            <w:pPr>
              <w:pStyle w:val="5"/>
              <w:spacing w:before="159" w:line="364" w:lineRule="auto"/>
              <w:ind w:left="300" w:right="299" w:firstLine="480"/>
              <w:jc w:val="center"/>
              <w:rPr>
                <w:rFonts w:hint="default" w:ascii="Times New Roman" w:hAnsi="Times New Roman" w:cs="Times New Roman"/>
                <w:b w:val="0"/>
                <w:bCs/>
                <w:sz w:val="24"/>
                <w:szCs w:val="22"/>
                <w:lang w:val="en-US" w:eastAsia="zh-CN" w:bidi="zh-CN"/>
              </w:rPr>
            </w:pPr>
          </w:p>
          <w:p>
            <w:pPr>
              <w:pStyle w:val="5"/>
              <w:spacing w:before="159" w:line="364" w:lineRule="auto"/>
              <w:ind w:left="300" w:right="299" w:firstLine="480"/>
              <w:jc w:val="both"/>
              <w:rPr>
                <w:rFonts w:hint="default"/>
                <w:spacing w:val="2"/>
                <w:sz w:val="24"/>
                <w:lang w:val="en-US" w:eastAsia="zh-CN"/>
              </w:rPr>
            </w:pPr>
          </w:p>
          <w:p>
            <w:pPr>
              <w:pStyle w:val="15"/>
              <w:tabs>
                <w:tab w:val="left" w:pos="1196"/>
              </w:tabs>
              <w:spacing w:before="159" w:line="253" w:lineRule="exact"/>
              <w:ind w:left="444"/>
              <w:jc w:val="center"/>
              <w:rPr>
                <w:b/>
                <w:sz w:val="21"/>
              </w:rPr>
            </w:pPr>
          </w:p>
        </w:tc>
      </w:tr>
    </w:tbl>
    <w:p>
      <w:pPr>
        <w:rPr>
          <w:sz w:val="2"/>
          <w:szCs w:val="2"/>
        </w:rPr>
      </w:pPr>
    </w:p>
    <w:p>
      <w:pPr>
        <w:spacing w:after="0"/>
        <w:rPr>
          <w:sz w:val="2"/>
          <w:szCs w:val="2"/>
        </w:rPr>
        <w:sectPr>
          <w:pgSz w:w="11910" w:h="16840"/>
          <w:pgMar w:top="1440" w:right="1000" w:bottom="1100" w:left="1000" w:header="0" w:footer="915" w:gutter="0"/>
          <w:pgBorders>
            <w:top w:val="none" w:sz="0" w:space="0"/>
            <w:left w:val="none" w:sz="0" w:space="0"/>
            <w:bottom w:val="none" w:sz="0" w:space="0"/>
            <w:right w:val="none" w:sz="0" w:space="0"/>
          </w:pgBorders>
          <w:cols w:space="720" w:num="1"/>
        </w:sectPr>
      </w:pPr>
    </w:p>
    <w:p>
      <w:pPr>
        <w:pStyle w:val="2"/>
      </w:pPr>
      <w:r>
        <w:pict>
          <v:group id="_x0000_s1056" o:spid="_x0000_s1056" o:spt="203" style="position:absolute;left:0pt;margin-left:59.2pt;margin-top:90.15pt;height:687.85pt;width:476.8pt;mso-position-horizontal-relative:page;mso-position-vertical-relative:page;z-index:-251651072;mso-width-relative:page;mso-height-relative:page;" coordorigin="1184,1804" coordsize="9536,13217">
            <o:lock v:ext="edit" aspectratio="f"/>
            <v:line id="_x0000_s1057" o:spid="_x0000_s1057" o:spt="20" style="position:absolute;left:1184;top:1808;height:0;width:9536;" filled="f" stroked="t" coordsize="21600,21600">
              <v:path arrowok="t"/>
              <v:fill on="f" focussize="0,0"/>
              <v:stroke weight="0.48pt" color="#000000"/>
              <v:imagedata o:title=""/>
              <o:lock v:ext="edit" aspectratio="f"/>
            </v:line>
            <v:line id="_x0000_s1058" o:spid="_x0000_s1058" o:spt="20" style="position:absolute;left:1184;top:15016;height:0;width:9536;" filled="f" stroked="t" coordsize="21600,21600">
              <v:path arrowok="t"/>
              <v:fill on="f" focussize="0,0"/>
              <v:stroke weight="0.48pt" color="#000000"/>
              <v:imagedata o:title=""/>
              <o:lock v:ext="edit" aspectratio="f"/>
            </v:line>
            <v:line id="_x0000_s1059" o:spid="_x0000_s1059" o:spt="20" style="position:absolute;left:1189;top:1804;height:13207;width:0;" filled="f" stroked="t" coordsize="21600,21600">
              <v:path arrowok="t"/>
              <v:fill on="f" focussize="0,0"/>
              <v:stroke weight="0.48pt" color="#000000"/>
              <v:imagedata o:title=""/>
              <o:lock v:ext="edit" aspectratio="f"/>
            </v:line>
            <v:line id="_x0000_s1060" o:spid="_x0000_s1060" o:spt="20" style="position:absolute;left:10715;top:1804;height:13207;width:0;" filled="f" stroked="t" coordsize="21600,21600">
              <v:path arrowok="t"/>
              <v:fill on="f" focussize="0,0"/>
              <v:stroke weight="0.48pt" color="#000000"/>
              <v:imagedata o:title=""/>
              <o:lock v:ext="edit" aspectratio="f"/>
            </v:line>
          </v:group>
        </w:pict>
      </w:r>
      <w:bookmarkStart w:id="3" w:name="_TOC_250005"/>
      <w:r>
        <w:t xml:space="preserve">表 </w:t>
      </w:r>
      <w:r>
        <w:rPr>
          <w:rFonts w:ascii="Times New Roman" w:eastAsia="Times New Roman"/>
        </w:rPr>
        <w:t xml:space="preserve">3 </w:t>
      </w:r>
      <w:bookmarkEnd w:id="3"/>
      <w:r>
        <w:t>主要污染物处理和排放流程</w:t>
      </w:r>
    </w:p>
    <w:p>
      <w:pPr>
        <w:pStyle w:val="3"/>
        <w:spacing w:before="13" w:line="360" w:lineRule="auto"/>
        <w:ind w:right="5770" w:rightChars="0" w:hanging="480"/>
        <w:rPr>
          <w:w w:val="95"/>
        </w:rPr>
      </w:pPr>
      <w:r>
        <w:rPr>
          <w:w w:val="95"/>
        </w:rPr>
        <w:t>主要污染源、污染物处理和排放</w:t>
      </w:r>
    </w:p>
    <w:p>
      <w:pPr>
        <w:pStyle w:val="3"/>
        <w:spacing w:before="13" w:line="360" w:lineRule="auto"/>
        <w:ind w:right="5770" w:rightChars="0" w:hanging="480"/>
        <w:rPr>
          <w:rFonts w:hint="eastAsia"/>
          <w:lang w:val="en-US" w:eastAsia="zh-CN"/>
        </w:rPr>
      </w:pPr>
      <w:r>
        <w:t>一、污染物治理</w:t>
      </w:r>
      <w:r>
        <w:rPr>
          <w:rFonts w:ascii="Times New Roman" w:eastAsia="Times New Roman"/>
        </w:rPr>
        <w:t>/</w:t>
      </w:r>
      <w:r>
        <w:t>处置设</w:t>
      </w:r>
      <w:r>
        <w:rPr>
          <w:rFonts w:hint="eastAsia"/>
          <w:lang w:val="en-US" w:eastAsia="zh-CN"/>
        </w:rPr>
        <w:t>施</w:t>
      </w:r>
    </w:p>
    <w:p>
      <w:pPr>
        <w:pStyle w:val="3"/>
        <w:spacing w:before="127"/>
        <w:rPr>
          <w:rFonts w:ascii="Times New Roman" w:eastAsia="Times New Roman"/>
        </w:rPr>
      </w:pPr>
      <w:r>
        <w:rPr>
          <w:rFonts w:ascii="Times New Roman" w:eastAsia="Times New Roman"/>
        </w:rPr>
        <w:t>1、废水</w:t>
      </w:r>
    </w:p>
    <w:p>
      <w:pPr>
        <w:pStyle w:val="5"/>
        <w:spacing w:before="130" w:line="364" w:lineRule="auto"/>
        <w:ind w:left="297" w:right="296" w:firstLine="480"/>
        <w:rPr>
          <w:rFonts w:hint="default"/>
        </w:rPr>
      </w:pPr>
      <w:r>
        <w:rPr>
          <w:rFonts w:hint="default" w:ascii="Times New Roman" w:hAnsi="Times New Roman" w:cs="Times New Roman"/>
        </w:rPr>
        <w:t>本</w:t>
      </w:r>
      <w:r>
        <w:rPr>
          <w:rFonts w:hint="default"/>
        </w:rPr>
        <w:t>项目制版及废版均由宝信捷公司提供及回收，本项目不涉及相关内容（详见附件承诺函），不产生PS制版显影废液（水）和洗版废水，本项目地面不冲洗，无生产用水，无生产废水产生。</w:t>
      </w:r>
    </w:p>
    <w:p>
      <w:pPr>
        <w:pStyle w:val="5"/>
        <w:spacing w:before="130" w:line="364" w:lineRule="auto"/>
        <w:ind w:left="297" w:right="296" w:firstLine="480"/>
        <w:rPr>
          <w:rFonts w:hint="default"/>
        </w:rPr>
      </w:pPr>
      <w:r>
        <w:rPr>
          <w:rFonts w:hint="default"/>
        </w:rPr>
        <w:t>本项目废水主要为职工生活污水，职工人数为25人，均不在厂内食宿，生活用水量按100L/人·日计算，每年按250天计，则项目生活需水量为625t/a，污水产生量按80％计，为500t/a。生活污水主要污染物为主要污染物为COD、BOD、SS、氨氮、TP，其污染物浓度为500mg/L，250mg/L，400mg/L，45mg/L、8mg/L。</w:t>
      </w:r>
    </w:p>
    <w:p>
      <w:pPr>
        <w:pStyle w:val="5"/>
        <w:spacing w:before="130" w:line="364" w:lineRule="auto"/>
        <w:ind w:left="297" w:right="296" w:firstLine="480"/>
        <w:rPr>
          <w:rFonts w:hint="default" w:ascii="Times New Roman" w:hAnsi="Times New Roman" w:cs="Times New Roman"/>
        </w:rPr>
      </w:pPr>
      <w:r>
        <w:rPr>
          <w:rFonts w:hint="default"/>
        </w:rPr>
        <w:t>项目废水中</w:t>
      </w:r>
      <w:r>
        <w:rPr>
          <w:rFonts w:hint="default" w:ascii="Times New Roman" w:hAnsi="Times New Roman" w:cs="Times New Roman"/>
        </w:rPr>
        <w:t>污染指标产生排放情况见表</w:t>
      </w:r>
      <w:r>
        <w:rPr>
          <w:rFonts w:hint="default" w:ascii="Times New Roman" w:hAnsi="Times New Roman" w:cs="Times New Roman"/>
          <w:lang w:val="en-US" w:eastAsia="zh-CN"/>
        </w:rPr>
        <w:t>3-1</w:t>
      </w:r>
      <w:r>
        <w:rPr>
          <w:rFonts w:hint="default" w:ascii="Times New Roman" w:hAnsi="Times New Roman" w:cs="Times New Roman"/>
        </w:rPr>
        <w:t>。</w:t>
      </w:r>
    </w:p>
    <w:p>
      <w:pPr>
        <w:pStyle w:val="5"/>
        <w:tabs>
          <w:tab w:val="left" w:pos="991"/>
        </w:tabs>
        <w:spacing w:before="161"/>
        <w:ind w:right="298"/>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3-1</w:t>
      </w:r>
      <w:r>
        <w:rPr>
          <w:rFonts w:hint="eastAsia" w:ascii="Times New Roman" w:hAnsi="Times New Roman" w:cs="Times New Roman"/>
          <w:lang w:val="en-US" w:eastAsia="zh-CN"/>
        </w:rPr>
        <w:t xml:space="preserve"> </w:t>
      </w:r>
      <w:r>
        <w:rPr>
          <w:rFonts w:hint="default" w:ascii="Times New Roman" w:hAnsi="Times New Roman" w:cs="Times New Roman"/>
        </w:rPr>
        <w:t>废水污染物产生及排放情况</w:t>
      </w:r>
    </w:p>
    <w:p>
      <w:pPr>
        <w:pStyle w:val="5"/>
        <w:tabs>
          <w:tab w:val="left" w:pos="991"/>
        </w:tabs>
        <w:spacing w:before="161"/>
        <w:ind w:right="298"/>
        <w:jc w:val="center"/>
        <w:rPr>
          <w:rFonts w:hint="default" w:ascii="Times New Roman" w:hAnsi="Times New Roman" w:cs="Times New Roman"/>
        </w:rPr>
      </w:pPr>
      <w:r>
        <w:drawing>
          <wp:inline distT="0" distB="0" distL="114300" distR="114300">
            <wp:extent cx="5822950" cy="1697355"/>
            <wp:effectExtent l="0" t="0" r="635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822950" cy="1697355"/>
                    </a:xfrm>
                    <a:prstGeom prst="rect">
                      <a:avLst/>
                    </a:prstGeom>
                    <a:noFill/>
                    <a:ln>
                      <a:noFill/>
                    </a:ln>
                  </pic:spPr>
                </pic:pic>
              </a:graphicData>
            </a:graphic>
          </wp:inline>
        </w:drawing>
      </w:r>
    </w:p>
    <w:p>
      <w:pPr>
        <w:pStyle w:val="3"/>
        <w:spacing w:before="127"/>
      </w:pPr>
      <w:r>
        <w:rPr>
          <w:rFonts w:ascii="Times New Roman" w:eastAsia="Times New Roman"/>
        </w:rPr>
        <w:t>2</w:t>
      </w:r>
      <w:r>
        <w:t>、废气</w:t>
      </w:r>
    </w:p>
    <w:p>
      <w:pPr>
        <w:pStyle w:val="5"/>
        <w:spacing w:before="130" w:line="364" w:lineRule="auto"/>
        <w:ind w:left="297" w:right="296" w:firstLine="480"/>
        <w:rPr>
          <w:rFonts w:hint="default"/>
        </w:rPr>
      </w:pPr>
      <w:r>
        <w:rPr>
          <w:rFonts w:hint="default"/>
          <w:lang w:val="zh-CN" w:eastAsia="zh-CN"/>
        </w:rPr>
        <w:t>项目印刷废气通过各个印刷机自带的集风系统收集汇总后经活性炭吸附处理，最后通过15米高的排气筒排放。</w:t>
      </w:r>
    </w:p>
    <w:p>
      <w:pPr>
        <w:pStyle w:val="5"/>
        <w:spacing w:before="130" w:line="364" w:lineRule="auto"/>
        <w:ind w:left="297" w:right="296" w:firstLine="480"/>
        <w:rPr>
          <w:rFonts w:hint="default"/>
          <w:lang w:val="zh-CN" w:eastAsia="zh-CN"/>
        </w:rPr>
      </w:pPr>
      <w:r>
        <w:rPr>
          <w:rFonts w:hint="default"/>
          <w:lang w:val="zh-CN" w:eastAsia="zh-CN"/>
        </w:rPr>
        <w:t>项目中无法经集气罩收集的印刷废气及无法通过车间换气收集处理的擦拭、清洗废气通过无组织形式排放。</w:t>
      </w:r>
    </w:p>
    <w:p>
      <w:pPr>
        <w:pStyle w:val="3"/>
        <w:spacing w:line="306" w:lineRule="exact"/>
      </w:pPr>
      <w:r>
        <w:rPr>
          <w:rFonts w:ascii="Times New Roman" w:eastAsia="Times New Roman"/>
        </w:rPr>
        <w:t>3</w:t>
      </w:r>
      <w:r>
        <w:t>、噪声</w:t>
      </w:r>
    </w:p>
    <w:p>
      <w:pPr>
        <w:pStyle w:val="5"/>
        <w:spacing w:before="130" w:line="364" w:lineRule="auto"/>
        <w:ind w:left="297" w:right="296" w:firstLine="480"/>
        <w:rPr>
          <w:rFonts w:hint="default" w:ascii="Times New Roman" w:hAnsi="Times New Roman" w:cs="Times New Roman"/>
          <w:lang w:val="zh-CN" w:eastAsia="zh-CN"/>
        </w:rPr>
      </w:pPr>
      <w:r>
        <w:rPr>
          <w:rFonts w:hint="default" w:ascii="Times New Roman" w:hAnsi="Times New Roman" w:cs="Times New Roman"/>
          <w:lang w:val="zh-CN" w:eastAsia="zh-CN"/>
        </w:rPr>
        <w:t>本项目噪声污染源主要为印刷机、模切机、晒版机、空压机运行过程中产生的噪声，根据类比调查，噪声值约为70～80dB（A）。</w:t>
      </w:r>
    </w:p>
    <w:p>
      <w:pPr>
        <w:pStyle w:val="5"/>
        <w:spacing w:before="130" w:line="364" w:lineRule="auto"/>
        <w:ind w:left="297" w:right="296" w:firstLine="480"/>
        <w:rPr>
          <w:rFonts w:hint="default"/>
          <w:lang w:val="zh-CN" w:eastAsia="zh-CN"/>
        </w:rPr>
      </w:pPr>
    </w:p>
    <w:p>
      <w:pPr>
        <w:pStyle w:val="3"/>
        <w:spacing w:line="306" w:lineRule="exact"/>
        <w:ind w:left="0" w:leftChars="0" w:firstLine="0" w:firstLineChars="0"/>
        <w:rPr>
          <w:rFonts w:ascii="Times New Roman" w:eastAsia="Times New Roman"/>
        </w:rPr>
      </w:pPr>
    </w:p>
    <w:p>
      <w:pPr>
        <w:pStyle w:val="3"/>
        <w:spacing w:line="306" w:lineRule="exact"/>
        <w:ind w:left="0" w:leftChars="0" w:firstLine="0" w:firstLineChars="0"/>
        <w:rPr>
          <w:rFonts w:ascii="Times New Roman" w:eastAsia="Times New Roman"/>
        </w:rPr>
      </w:pPr>
      <w:r>
        <w:pict>
          <v:group id="_x0000_s1158" o:spid="_x0000_s1158" o:spt="203" style="position:absolute;left:0pt;margin-left:59.2pt;margin-top:80.15pt;height:687.85pt;width:476.8pt;mso-position-horizontal-relative:page;mso-position-vertical-relative:page;z-index:-251641856;mso-width-relative:page;mso-height-relative:page;" coordorigin="1184,1804" coordsize="9536,13217">
            <o:lock v:ext="edit" aspectratio="f"/>
            <v:line id="_x0000_s1159" o:spid="_x0000_s1159" o:spt="20" style="position:absolute;left:1184;top:1808;height:0;width:9536;" filled="f" stroked="t" coordsize="21600,21600">
              <v:path arrowok="t"/>
              <v:fill on="f" focussize="0,0"/>
              <v:stroke weight="0.48pt" color="#000000"/>
              <v:imagedata o:title=""/>
              <o:lock v:ext="edit" aspectratio="f"/>
            </v:line>
            <v:line id="_x0000_s1160" o:spid="_x0000_s1160" o:spt="20" style="position:absolute;left:1184;top:15016;height:0;width:9536;" filled="f" stroked="t" coordsize="21600,21600">
              <v:path arrowok="t"/>
              <v:fill on="f" focussize="0,0"/>
              <v:stroke weight="0.48pt" color="#000000"/>
              <v:imagedata o:title=""/>
              <o:lock v:ext="edit" aspectratio="f"/>
            </v:line>
            <v:line id="_x0000_s1161" o:spid="_x0000_s1161" o:spt="20" style="position:absolute;left:1189;top:1804;height:13207;width:0;" filled="f" stroked="t" coordsize="21600,21600">
              <v:path arrowok="t"/>
              <v:fill on="f" focussize="0,0"/>
              <v:stroke weight="0.48pt" color="#000000"/>
              <v:imagedata o:title=""/>
              <o:lock v:ext="edit" aspectratio="f"/>
            </v:line>
            <v:line id="_x0000_s1162" o:spid="_x0000_s1162" o:spt="20" style="position:absolute;left:10715;top:1804;height:13207;width:0;" filled="f" stroked="t" coordsize="21600,21600">
              <v:path arrowok="t"/>
              <v:fill on="f" focussize="0,0"/>
              <v:stroke weight="0.48pt" color="#000000"/>
              <v:imagedata o:title=""/>
              <o:lock v:ext="edit" aspectratio="f"/>
            </v:line>
          </v:group>
        </w:pict>
      </w:r>
    </w:p>
    <w:p>
      <w:pPr>
        <w:pStyle w:val="3"/>
        <w:spacing w:line="306" w:lineRule="exact"/>
      </w:pPr>
      <w:r>
        <w:rPr>
          <w:rFonts w:ascii="Times New Roman" w:eastAsia="Times New Roman"/>
        </w:rPr>
        <w:t>4</w:t>
      </w:r>
      <w:r>
        <w:t>、固体废弃物</w:t>
      </w:r>
    </w:p>
    <w:p>
      <w:pPr>
        <w:pStyle w:val="5"/>
        <w:spacing w:before="130" w:line="364" w:lineRule="auto"/>
        <w:ind w:left="297" w:right="296" w:firstLine="480"/>
        <w:rPr>
          <w:rFonts w:hint="default" w:ascii="Times New Roman" w:hAnsi="Times New Roman" w:cs="Times New Roman"/>
          <w:lang w:val="zh-CN" w:eastAsia="zh-CN"/>
        </w:rPr>
      </w:pPr>
      <w:r>
        <w:rPr>
          <w:rFonts w:hint="default" w:ascii="Times New Roman" w:hAnsi="Times New Roman" w:cs="Times New Roman"/>
          <w:lang w:val="zh-CN" w:eastAsia="zh-CN"/>
        </w:rPr>
        <w:t>本项目固废产生环节主要包括：</w:t>
      </w:r>
    </w:p>
    <w:p>
      <w:pPr>
        <w:pStyle w:val="5"/>
        <w:spacing w:before="130" w:line="364" w:lineRule="auto"/>
        <w:ind w:left="297" w:right="296" w:firstLine="480"/>
        <w:rPr>
          <w:rFonts w:hint="default" w:ascii="Times New Roman" w:hAnsi="Times New Roman" w:cs="Times New Roman"/>
          <w:lang w:val="zh-CN" w:eastAsia="zh-CN"/>
        </w:rPr>
      </w:pPr>
      <w:r>
        <w:rPr>
          <w:rFonts w:hint="eastAsia" w:ascii="Times New Roman" w:hAnsi="Times New Roman" w:cs="Times New Roman"/>
          <w:lang w:val="zh-CN" w:eastAsia="zh-CN"/>
        </w:rPr>
        <w:t>（</w:t>
      </w:r>
      <w:r>
        <w:rPr>
          <w:rFonts w:hint="eastAsia" w:ascii="Times New Roman" w:hAnsi="Times New Roman" w:cs="Times New Roman"/>
          <w:lang w:val="en-US" w:eastAsia="zh-CN"/>
        </w:rPr>
        <w:t>1</w:t>
      </w:r>
      <w:r>
        <w:rPr>
          <w:rFonts w:hint="eastAsia" w:ascii="Times New Roman" w:hAnsi="Times New Roman" w:cs="Times New Roman"/>
          <w:lang w:val="zh-CN" w:eastAsia="zh-CN"/>
        </w:rPr>
        <w:t>）</w:t>
      </w:r>
      <w:r>
        <w:rPr>
          <w:rFonts w:hint="default" w:ascii="Times New Roman" w:hAnsi="Times New Roman" w:cs="Times New Roman"/>
          <w:lang w:val="zh-CN" w:eastAsia="zh-CN"/>
        </w:rPr>
        <w:t>一般工业固废：废包装材料 0.01t/a，废边角料 0.64t/a，不合格品 0.05t/a。</w:t>
      </w:r>
    </w:p>
    <w:p>
      <w:pPr>
        <w:pStyle w:val="5"/>
        <w:spacing w:before="130" w:line="364" w:lineRule="auto"/>
        <w:ind w:left="297" w:right="296" w:firstLine="480"/>
        <w:rPr>
          <w:rFonts w:hint="default" w:ascii="Times New Roman" w:hAnsi="Times New Roman" w:cs="Times New Roman"/>
          <w:lang w:val="zh-CN" w:eastAsia="zh-CN"/>
        </w:rPr>
      </w:pPr>
      <w:r>
        <w:rPr>
          <w:rFonts w:hint="eastAsia" w:ascii="Times New Roman" w:hAnsi="Times New Roman" w:cs="Times New Roman"/>
          <w:lang w:val="zh-CN" w:eastAsia="zh-CN"/>
        </w:rPr>
        <w:t>（</w:t>
      </w:r>
      <w:r>
        <w:rPr>
          <w:rFonts w:hint="eastAsia" w:ascii="Times New Roman" w:hAnsi="Times New Roman" w:cs="Times New Roman"/>
          <w:lang w:val="en-US" w:eastAsia="zh-CN"/>
        </w:rPr>
        <w:t>2</w:t>
      </w:r>
      <w:r>
        <w:rPr>
          <w:rFonts w:hint="eastAsia" w:ascii="Times New Roman" w:hAnsi="Times New Roman" w:cs="Times New Roman"/>
          <w:lang w:val="zh-CN" w:eastAsia="zh-CN"/>
        </w:rPr>
        <w:t>）</w:t>
      </w:r>
      <w:r>
        <w:rPr>
          <w:rFonts w:hint="default" w:ascii="Times New Roman" w:hAnsi="Times New Roman" w:cs="Times New Roman"/>
          <w:lang w:val="zh-CN" w:eastAsia="zh-CN"/>
        </w:rPr>
        <w:t>危险固废：化学品空桶、废油墨罐 0.04t/a，废 PS 版、废树脂版、废菲林 0.05t/a，废含油抹布 0.03t/a，废活性炭 0.93t/a。</w:t>
      </w:r>
    </w:p>
    <w:p>
      <w:pPr>
        <w:pStyle w:val="5"/>
        <w:spacing w:before="130" w:line="364" w:lineRule="auto"/>
        <w:ind w:left="297" w:right="296" w:firstLine="480"/>
        <w:rPr>
          <w:rFonts w:hint="default" w:ascii="Times New Roman" w:hAnsi="Times New Roman" w:cs="Times New Roman"/>
          <w:lang w:val="zh-CN" w:eastAsia="zh-CN"/>
        </w:rPr>
      </w:pPr>
      <w:r>
        <w:rPr>
          <w:rFonts w:hint="eastAsia" w:ascii="Times New Roman" w:hAnsi="Times New Roman" w:cs="Times New Roman"/>
          <w:lang w:val="zh-CN" w:eastAsia="zh-CN"/>
        </w:rPr>
        <w:t>（</w:t>
      </w:r>
      <w:r>
        <w:rPr>
          <w:rFonts w:hint="eastAsia" w:ascii="Times New Roman" w:hAnsi="Times New Roman" w:cs="Times New Roman"/>
          <w:lang w:val="en-US" w:eastAsia="zh-CN"/>
        </w:rPr>
        <w:t>3</w:t>
      </w:r>
      <w:r>
        <w:rPr>
          <w:rFonts w:hint="eastAsia" w:ascii="Times New Roman" w:hAnsi="Times New Roman" w:cs="Times New Roman"/>
          <w:lang w:val="zh-CN" w:eastAsia="zh-CN"/>
        </w:rPr>
        <w:t>）</w:t>
      </w:r>
      <w:r>
        <w:rPr>
          <w:rFonts w:hint="default" w:ascii="Times New Roman" w:hAnsi="Times New Roman" w:cs="Times New Roman"/>
          <w:lang w:val="zh-CN" w:eastAsia="zh-CN"/>
        </w:rPr>
        <w:t>生活垃圾：员工 25 人，生活垃圾人均产生量按 0.5kg/d 计算，则生活垃圾产生量为 3.125t/a。</w:t>
      </w:r>
    </w:p>
    <w:p>
      <w:pPr>
        <w:pStyle w:val="5"/>
        <w:spacing w:before="130" w:line="364" w:lineRule="auto"/>
        <w:ind w:left="297" w:right="296" w:firstLine="480"/>
        <w:rPr>
          <w:rFonts w:hint="default" w:ascii="Times New Roman" w:hAnsi="Times New Roman" w:cs="Times New Roman"/>
          <w:lang w:val="zh-CN" w:eastAsia="zh-CN"/>
        </w:rPr>
        <w:sectPr>
          <w:pgSz w:w="11910" w:h="16840"/>
          <w:pgMar w:top="1420" w:right="900" w:bottom="1180" w:left="1280" w:header="0" w:footer="913" w:gutter="0"/>
          <w:cols w:space="720" w:num="1"/>
        </w:sectPr>
      </w:pPr>
    </w:p>
    <w:p>
      <w:pPr>
        <w:pStyle w:val="3"/>
        <w:spacing w:before="50"/>
      </w:pPr>
      <w:r>
        <w:rPr>
          <w:rFonts w:hint="default"/>
          <w:lang w:val="en-US"/>
        </w:rPr>
        <w:pict>
          <v:group id="_x0000_s1061" o:spid="_x0000_s1061" o:spt="203" style="position:absolute;left:0pt;margin-left:59.2pt;margin-top:72pt;height:683.5pt;width:476.8pt;mso-position-horizontal-relative:page;mso-position-vertical-relative:page;z-index:-251650048;mso-width-relative:page;mso-height-relative:page;" coordorigin="1184,1440" coordsize="9536,13670">
            <o:lock v:ext="edit"/>
            <v:line id="_x0000_s1062" o:spid="_x0000_s1062" o:spt="20" style="position:absolute;left:1184;top:1445;height:0;width:9536;" stroked="t" coordsize="21600,21600">
              <v:path arrowok="t"/>
              <v:fill focussize="0,0"/>
              <v:stroke weight="0.48pt" color="#000000"/>
              <v:imagedata o:title=""/>
              <o:lock v:ext="edit"/>
            </v:line>
            <v:line id="_x0000_s1063" o:spid="_x0000_s1063" o:spt="20" style="position:absolute;left:1184;top:15104;height:0;width:9536;" stroked="t" coordsize="21600,21600">
              <v:path arrowok="t"/>
              <v:fill focussize="0,0"/>
              <v:stroke weight="0.48pt" color="#000000"/>
              <v:imagedata o:title=""/>
              <o:lock v:ext="edit"/>
            </v:line>
            <v:line id="_x0000_s1064" o:spid="_x0000_s1064" o:spt="20" style="position:absolute;left:1189;top:1440;height:13660;width:0;" stroked="t" coordsize="21600,21600">
              <v:path arrowok="t"/>
              <v:fill focussize="0,0"/>
              <v:stroke weight="0.48pt" color="#000000"/>
              <v:imagedata o:title=""/>
              <o:lock v:ext="edit"/>
            </v:line>
            <v:line id="_x0000_s1065" o:spid="_x0000_s1065" o:spt="20" style="position:absolute;left:10715;top:1440;height:13660;width:0;" stroked="t" coordsize="21600,21600">
              <v:path arrowok="t"/>
              <v:fill focussize="0,0"/>
              <v:stroke weight="0.48pt" color="#000000"/>
              <v:imagedata o:title=""/>
              <o:lock v:ext="edit"/>
            </v:line>
          </v:group>
        </w:pict>
      </w:r>
      <w:r>
        <w:rPr>
          <w:rFonts w:hint="eastAsia"/>
          <w:lang w:val="en-US" w:eastAsia="zh-CN"/>
        </w:rPr>
        <w:t>二</w:t>
      </w:r>
      <w:r>
        <w:t>、三同时竣工环境保护验收检查情况</w:t>
      </w:r>
    </w:p>
    <w:p>
      <w:pPr>
        <w:pStyle w:val="5"/>
        <w:spacing w:before="129" w:line="340" w:lineRule="auto"/>
        <w:ind w:left="297" w:right="247" w:firstLine="480"/>
      </w:pPr>
      <w:r>
        <w:t xml:space="preserve">根据查阅项目环评报告表，项目“三同时”环保设施竣工环境保护验收内容及项目实际执行情况对照如表 </w:t>
      </w:r>
      <w:r>
        <w:rPr>
          <w:rFonts w:ascii="Times New Roman" w:hAnsi="Times New Roman" w:eastAsia="Times New Roman"/>
        </w:rPr>
        <w:t>3-2</w:t>
      </w:r>
      <w:r>
        <w:t>。</w:t>
      </w:r>
    </w:p>
    <w:p>
      <w:pPr>
        <w:spacing w:before="0" w:after="6" w:line="266" w:lineRule="exact"/>
        <w:ind w:left="2632" w:right="0" w:firstLine="0"/>
        <w:jc w:val="left"/>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表 </w:t>
      </w:r>
      <w:r>
        <w:rPr>
          <w:rFonts w:hint="default" w:ascii="Times New Roman" w:hAnsi="Times New Roman" w:eastAsia="Times New Roman" w:cs="Times New Roman"/>
          <w:b w:val="0"/>
          <w:bCs/>
          <w:sz w:val="24"/>
          <w:szCs w:val="24"/>
        </w:rPr>
        <w:t xml:space="preserve">3-2  </w:t>
      </w:r>
      <w:r>
        <w:rPr>
          <w:rFonts w:hint="default" w:ascii="Times New Roman" w:hAnsi="Times New Roman" w:cs="Times New Roman"/>
          <w:b w:val="0"/>
          <w:bCs/>
          <w:sz w:val="24"/>
          <w:szCs w:val="24"/>
        </w:rPr>
        <w:t>建设项目环境保护</w:t>
      </w:r>
      <w:r>
        <w:rPr>
          <w:rFonts w:hint="default" w:ascii="Times New Roman" w:hAnsi="Times New Roman" w:eastAsia="Times New Roman" w:cs="Times New Roman"/>
          <w:b w:val="0"/>
          <w:bCs/>
          <w:sz w:val="24"/>
          <w:szCs w:val="24"/>
        </w:rPr>
        <w:t>“</w:t>
      </w:r>
      <w:r>
        <w:rPr>
          <w:rFonts w:hint="default" w:ascii="Times New Roman" w:hAnsi="Times New Roman" w:cs="Times New Roman"/>
          <w:b w:val="0"/>
          <w:bCs/>
          <w:sz w:val="24"/>
          <w:szCs w:val="24"/>
        </w:rPr>
        <w:t>三同时</w:t>
      </w:r>
      <w:r>
        <w:rPr>
          <w:rFonts w:hint="default" w:ascii="Times New Roman" w:hAnsi="Times New Roman" w:eastAsia="Times New Roman" w:cs="Times New Roman"/>
          <w:b w:val="0"/>
          <w:bCs/>
          <w:sz w:val="24"/>
          <w:szCs w:val="24"/>
        </w:rPr>
        <w:t>”</w:t>
      </w:r>
      <w:r>
        <w:rPr>
          <w:rFonts w:hint="default" w:ascii="Times New Roman" w:hAnsi="Times New Roman" w:cs="Times New Roman"/>
          <w:b w:val="0"/>
          <w:bCs/>
          <w:sz w:val="24"/>
          <w:szCs w:val="24"/>
        </w:rPr>
        <w:t>验收对比一览表</w:t>
      </w:r>
    </w:p>
    <w:tbl>
      <w:tblPr>
        <w:tblStyle w:val="10"/>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5"/>
        <w:gridCol w:w="446"/>
        <w:gridCol w:w="1368"/>
        <w:gridCol w:w="1361"/>
        <w:gridCol w:w="1457"/>
        <w:gridCol w:w="2158"/>
        <w:gridCol w:w="2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0" w:hRule="atLeast"/>
          <w:jc w:val="center"/>
        </w:trPr>
        <w:tc>
          <w:tcPr>
            <w:tcW w:w="355" w:type="dxa"/>
            <w:vAlign w:val="center"/>
          </w:tcPr>
          <w:p>
            <w:pPr>
              <w:jc w:val="center"/>
              <w:rPr>
                <w:rFonts w:hint="eastAsia"/>
                <w:lang w:val="en-US" w:eastAsia="zh-CN"/>
              </w:rPr>
            </w:pPr>
            <w:r>
              <w:rPr>
                <w:rFonts w:hint="eastAsia"/>
                <w:lang w:val="en-US" w:eastAsia="zh-CN"/>
              </w:rPr>
              <w:t>序号</w:t>
            </w:r>
          </w:p>
        </w:tc>
        <w:tc>
          <w:tcPr>
            <w:tcW w:w="1814" w:type="dxa"/>
            <w:gridSpan w:val="2"/>
            <w:vAlign w:val="center"/>
          </w:tcPr>
          <w:p>
            <w:pPr>
              <w:jc w:val="center"/>
              <w:rPr>
                <w:rFonts w:hint="default"/>
                <w:lang w:val="en-US" w:eastAsia="zh-CN"/>
              </w:rPr>
            </w:pPr>
            <w:r>
              <w:rPr>
                <w:rFonts w:hint="eastAsia"/>
                <w:lang w:val="en-US" w:eastAsia="zh-CN"/>
              </w:rPr>
              <w:t>验收对象</w:t>
            </w:r>
          </w:p>
        </w:tc>
        <w:tc>
          <w:tcPr>
            <w:tcW w:w="1361" w:type="dxa"/>
            <w:vAlign w:val="center"/>
          </w:tcPr>
          <w:p>
            <w:pPr>
              <w:jc w:val="center"/>
              <w:rPr>
                <w:rFonts w:hint="default"/>
                <w:lang w:val="en-US" w:eastAsia="zh-CN"/>
              </w:rPr>
            </w:pPr>
            <w:r>
              <w:rPr>
                <w:rFonts w:hint="eastAsia"/>
                <w:lang w:val="en-US" w:eastAsia="zh-CN"/>
              </w:rPr>
              <w:t>污染物名称</w:t>
            </w:r>
          </w:p>
        </w:tc>
        <w:tc>
          <w:tcPr>
            <w:tcW w:w="1457" w:type="dxa"/>
            <w:vAlign w:val="center"/>
          </w:tcPr>
          <w:p>
            <w:pPr>
              <w:jc w:val="center"/>
              <w:rPr>
                <w:rFonts w:hint="default"/>
                <w:lang w:val="en-US" w:eastAsia="zh-CN"/>
              </w:rPr>
            </w:pPr>
            <w:r>
              <w:rPr>
                <w:rFonts w:hint="eastAsia"/>
                <w:lang w:val="en-US" w:eastAsia="zh-CN"/>
              </w:rPr>
              <w:t>验收内容</w:t>
            </w:r>
          </w:p>
        </w:tc>
        <w:tc>
          <w:tcPr>
            <w:tcW w:w="2158" w:type="dxa"/>
            <w:vAlign w:val="center"/>
          </w:tcPr>
          <w:p>
            <w:pPr>
              <w:jc w:val="center"/>
              <w:rPr>
                <w:rFonts w:hint="default" w:eastAsia="宋体"/>
                <w:lang w:val="en-US" w:eastAsia="zh-CN"/>
              </w:rPr>
            </w:pPr>
            <w:r>
              <w:rPr>
                <w:rFonts w:hint="eastAsia"/>
                <w:lang w:val="en-US" w:eastAsia="zh-CN"/>
              </w:rPr>
              <w:t>验收执行标准</w:t>
            </w:r>
          </w:p>
        </w:tc>
        <w:tc>
          <w:tcPr>
            <w:tcW w:w="2172" w:type="dxa"/>
            <w:vAlign w:val="center"/>
          </w:tcPr>
          <w:p>
            <w:pPr>
              <w:jc w:val="center"/>
              <w:rPr>
                <w:rFonts w:hint="default" w:eastAsia="宋体"/>
                <w:lang w:val="en-US" w:eastAsia="zh-CN"/>
              </w:rPr>
            </w:pPr>
            <w:r>
              <w:rPr>
                <w:rFonts w:hint="eastAsia"/>
                <w:lang w:val="en-US" w:eastAsia="zh-CN"/>
              </w:rPr>
              <w:t>实际情况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jc w:val="center"/>
        </w:trPr>
        <w:tc>
          <w:tcPr>
            <w:tcW w:w="355" w:type="dxa"/>
            <w:vAlign w:val="center"/>
          </w:tcPr>
          <w:p>
            <w:pPr>
              <w:jc w:val="center"/>
              <w:rPr>
                <w:rFonts w:hint="eastAsia"/>
                <w:lang w:val="en-US" w:eastAsia="zh-CN"/>
              </w:rPr>
            </w:pPr>
            <w:r>
              <w:rPr>
                <w:rFonts w:hint="eastAsia"/>
                <w:lang w:val="en-US" w:eastAsia="zh-CN"/>
              </w:rPr>
              <w:t>1</w:t>
            </w:r>
          </w:p>
        </w:tc>
        <w:tc>
          <w:tcPr>
            <w:tcW w:w="446" w:type="dxa"/>
            <w:vAlign w:val="center"/>
          </w:tcPr>
          <w:p>
            <w:pPr>
              <w:jc w:val="center"/>
              <w:rPr>
                <w:rFonts w:hint="default"/>
                <w:lang w:val="en-US" w:eastAsia="zh-CN"/>
              </w:rPr>
            </w:pPr>
            <w:r>
              <w:rPr>
                <w:rFonts w:hint="eastAsia"/>
                <w:lang w:val="en-US" w:eastAsia="zh-CN"/>
              </w:rPr>
              <w:t>废水</w:t>
            </w:r>
          </w:p>
        </w:tc>
        <w:tc>
          <w:tcPr>
            <w:tcW w:w="1368" w:type="dxa"/>
            <w:vAlign w:val="center"/>
          </w:tcPr>
          <w:p>
            <w:pPr>
              <w:jc w:val="center"/>
              <w:rPr>
                <w:rFonts w:hint="default"/>
              </w:rPr>
            </w:pPr>
            <w:r>
              <w:rPr>
                <w:sz w:val="21"/>
              </w:rPr>
              <w:t>贵州宝信捷投资有限公司已建的</w:t>
            </w:r>
            <w:r>
              <w:rPr>
                <w:rFonts w:ascii="Times New Roman" w:eastAsia="Times New Roman"/>
                <w:sz w:val="21"/>
              </w:rPr>
              <w:t>60m</w:t>
            </w:r>
            <w:r>
              <w:rPr>
                <w:rFonts w:ascii="Times New Roman" w:eastAsia="Times New Roman"/>
                <w:position w:val="7"/>
                <w:sz w:val="13"/>
              </w:rPr>
              <w:t>3</w:t>
            </w:r>
            <w:r>
              <w:rPr>
                <w:rFonts w:ascii="Times New Roman" w:eastAsia="Times New Roman"/>
                <w:sz w:val="21"/>
              </w:rPr>
              <w:t xml:space="preserve">/d </w:t>
            </w:r>
            <w:r>
              <w:rPr>
                <w:sz w:val="21"/>
              </w:rPr>
              <w:t>的污水处理站</w:t>
            </w:r>
          </w:p>
        </w:tc>
        <w:tc>
          <w:tcPr>
            <w:tcW w:w="1361" w:type="dxa"/>
            <w:vAlign w:val="center"/>
          </w:tcPr>
          <w:p>
            <w:pPr>
              <w:pStyle w:val="15"/>
              <w:spacing w:line="276" w:lineRule="auto"/>
              <w:ind w:left="104" w:right="12"/>
              <w:rPr>
                <w:rFonts w:hint="eastAsia" w:eastAsia="宋体"/>
                <w:lang w:val="en-US" w:eastAsia="zh-CN"/>
              </w:rPr>
            </w:pPr>
            <w:r>
              <w:rPr>
                <w:rFonts w:ascii="Times New Roman" w:eastAsia="Times New Roman"/>
                <w:sz w:val="21"/>
              </w:rPr>
              <w:t>COD</w:t>
            </w:r>
            <w:r>
              <w:rPr>
                <w:sz w:val="21"/>
              </w:rPr>
              <w:t>、</w:t>
            </w:r>
            <w:r>
              <w:rPr>
                <w:rFonts w:ascii="Times New Roman" w:eastAsia="Times New Roman"/>
                <w:sz w:val="21"/>
              </w:rPr>
              <w:t>SS</w:t>
            </w:r>
            <w:r>
              <w:rPr>
                <w:sz w:val="21"/>
              </w:rPr>
              <w:t>、</w:t>
            </w:r>
            <w:r>
              <w:rPr>
                <w:rFonts w:ascii="Times New Roman" w:eastAsia="Times New Roman"/>
                <w:position w:val="2"/>
                <w:sz w:val="21"/>
                <w:vertAlign w:val="baseline"/>
              </w:rPr>
              <w:t>T</w:t>
            </w:r>
            <w:r>
              <w:rPr>
                <w:rFonts w:hint="eastAsia" w:ascii="Times New Roman"/>
                <w:position w:val="2"/>
                <w:sz w:val="21"/>
                <w:vertAlign w:val="baseline"/>
                <w:lang w:val="en-US" w:eastAsia="zh-CN"/>
              </w:rPr>
              <w:t>P</w:t>
            </w:r>
            <w:r>
              <w:rPr>
                <w:rFonts w:hint="eastAsia" w:ascii="Times New Roman"/>
                <w:position w:val="2"/>
                <w:sz w:val="21"/>
                <w:vertAlign w:val="baseline"/>
                <w:lang w:eastAsia="zh-CN"/>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 xml:space="preserve">-N </w:t>
            </w:r>
            <w:r>
              <w:rPr>
                <w:rFonts w:hint="eastAsia" w:ascii="Times New Roman"/>
                <w:position w:val="2"/>
                <w:sz w:val="21"/>
                <w:vertAlign w:val="baseline"/>
                <w:lang w:val="en-US" w:eastAsia="zh-CN"/>
              </w:rPr>
              <w:t>等</w:t>
            </w:r>
          </w:p>
        </w:tc>
        <w:tc>
          <w:tcPr>
            <w:tcW w:w="1457" w:type="dxa"/>
            <w:vAlign w:val="center"/>
          </w:tcPr>
          <w:p>
            <w:pPr>
              <w:jc w:val="center"/>
              <w:rPr>
                <w:rFonts w:hint="default" w:eastAsia="宋体"/>
                <w:lang w:val="en-US" w:eastAsia="zh-CN"/>
              </w:rPr>
            </w:pPr>
            <w:r>
              <w:rPr>
                <w:rFonts w:hint="eastAsia"/>
                <w:lang w:val="en-US" w:eastAsia="zh-CN"/>
              </w:rPr>
              <w:t>污水处理站出水水质</w:t>
            </w:r>
          </w:p>
        </w:tc>
        <w:tc>
          <w:tcPr>
            <w:tcW w:w="2158" w:type="dxa"/>
            <w:vAlign w:val="center"/>
          </w:tcPr>
          <w:p>
            <w:pPr>
              <w:jc w:val="center"/>
              <w:rPr>
                <w:rFonts w:hint="default"/>
              </w:rPr>
            </w:pPr>
            <w:r>
              <w:rPr>
                <w:rFonts w:hint="eastAsia" w:ascii="Times New Roman" w:hAnsi="Times New Roman" w:cs="Times New Roman"/>
                <w:b w:val="0"/>
                <w:bCs w:val="0"/>
                <w:sz w:val="24"/>
                <w:szCs w:val="24"/>
                <w:lang w:val="en-US" w:eastAsia="zh-CN"/>
              </w:rPr>
              <w:t>《污水综合排放标准》（GB 8978-1996）三级</w:t>
            </w:r>
          </w:p>
        </w:tc>
        <w:tc>
          <w:tcPr>
            <w:tcW w:w="2172" w:type="dxa"/>
            <w:vAlign w:val="center"/>
          </w:tcPr>
          <w:p>
            <w:pPr>
              <w:ind w:firstLine="440" w:firstLineChars="200"/>
              <w:jc w:val="both"/>
              <w:rPr>
                <w:rFonts w:hint="default" w:eastAsia="宋体"/>
                <w:lang w:val="en-US" w:eastAsia="zh-CN"/>
              </w:rPr>
            </w:pPr>
            <w:r>
              <w:rPr>
                <w:rFonts w:hint="default" w:ascii="Times New Roman" w:hAnsi="Times New Roman" w:cs="Times New Roman"/>
                <w:lang w:val="en-US" w:eastAsia="zh-CN"/>
              </w:rPr>
              <w:t>COD、BOD</w:t>
            </w:r>
            <w:r>
              <w:rPr>
                <w:rFonts w:hint="default" w:ascii="Times New Roman" w:hAnsi="Times New Roman" w:cs="Times New Roman"/>
                <w:vertAlign w:val="subscript"/>
                <w:lang w:val="en-US" w:eastAsia="zh-CN"/>
              </w:rPr>
              <w:t>5</w:t>
            </w:r>
            <w:r>
              <w:rPr>
                <w:rFonts w:hint="eastAsia" w:ascii="Times New Roman" w:hAnsi="Times New Roman" w:cs="Times New Roman"/>
                <w:vertAlign w:val="baseline"/>
                <w:lang w:val="en-US" w:eastAsia="zh-CN"/>
              </w:rPr>
              <w:t>、SS执行</w:t>
            </w:r>
            <w:r>
              <w:rPr>
                <w:rFonts w:hint="eastAsia" w:ascii="Times New Roman" w:hAnsi="Times New Roman" w:cs="Times New Roman"/>
                <w:b w:val="0"/>
                <w:bCs w:val="0"/>
                <w:sz w:val="24"/>
                <w:szCs w:val="24"/>
                <w:lang w:val="en-US" w:eastAsia="zh-CN"/>
              </w:rPr>
              <w:t>《污水综合排放标准》（GB 8978-1996）三级；</w:t>
            </w:r>
            <w:r>
              <w:rPr>
                <w:rFonts w:ascii="Times New Roman" w:eastAsia="Times New Roman"/>
                <w:position w:val="2"/>
                <w:sz w:val="21"/>
                <w:vertAlign w:val="baseline"/>
              </w:rPr>
              <w:t>T</w:t>
            </w:r>
            <w:r>
              <w:rPr>
                <w:rFonts w:hint="eastAsia" w:ascii="Times New Roman"/>
                <w:position w:val="2"/>
                <w:sz w:val="21"/>
                <w:vertAlign w:val="baseline"/>
                <w:lang w:val="en-US" w:eastAsia="zh-CN"/>
              </w:rPr>
              <w:t>P</w:t>
            </w:r>
            <w:r>
              <w:rPr>
                <w:rFonts w:hint="eastAsia" w:ascii="Times New Roman"/>
                <w:position w:val="2"/>
                <w:sz w:val="21"/>
                <w:vertAlign w:val="baseline"/>
                <w:lang w:eastAsia="zh-CN"/>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 xml:space="preserve">-N </w:t>
            </w:r>
            <w:r>
              <w:rPr>
                <w:rFonts w:hint="eastAsia" w:ascii="Times New Roman"/>
                <w:position w:val="2"/>
                <w:sz w:val="21"/>
                <w:vertAlign w:val="baseline"/>
                <w:lang w:val="en-US" w:eastAsia="zh-CN"/>
              </w:rPr>
              <w:t>三级无限值，依保守原则，执行二级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jc w:val="center"/>
        </w:trPr>
        <w:tc>
          <w:tcPr>
            <w:tcW w:w="355" w:type="dxa"/>
            <w:vAlign w:val="center"/>
          </w:tcPr>
          <w:p>
            <w:pPr>
              <w:jc w:val="center"/>
              <w:rPr>
                <w:rFonts w:hint="eastAsia"/>
                <w:lang w:val="en-US" w:eastAsia="zh-CN"/>
              </w:rPr>
            </w:pPr>
            <w:r>
              <w:rPr>
                <w:rFonts w:hint="eastAsia"/>
                <w:lang w:val="en-US" w:eastAsia="zh-CN"/>
              </w:rPr>
              <w:t>2</w:t>
            </w:r>
          </w:p>
        </w:tc>
        <w:tc>
          <w:tcPr>
            <w:tcW w:w="446" w:type="dxa"/>
            <w:vAlign w:val="center"/>
          </w:tcPr>
          <w:p>
            <w:pPr>
              <w:jc w:val="center"/>
              <w:rPr>
                <w:rFonts w:hint="default"/>
                <w:lang w:val="en-US" w:eastAsia="zh-CN"/>
              </w:rPr>
            </w:pPr>
            <w:r>
              <w:rPr>
                <w:rFonts w:hint="eastAsia"/>
                <w:lang w:val="en-US" w:eastAsia="zh-CN"/>
              </w:rPr>
              <w:t>废气</w:t>
            </w:r>
          </w:p>
        </w:tc>
        <w:tc>
          <w:tcPr>
            <w:tcW w:w="1368" w:type="dxa"/>
            <w:tcBorders>
              <w:bottom w:val="single" w:color="auto" w:sz="4" w:space="0"/>
            </w:tcBorders>
            <w:vAlign w:val="center"/>
          </w:tcPr>
          <w:p>
            <w:pPr>
              <w:jc w:val="center"/>
              <w:rPr>
                <w:rFonts w:hint="default"/>
                <w:sz w:val="21"/>
              </w:rPr>
            </w:pPr>
            <w:r>
              <w:rPr>
                <w:rFonts w:hint="default" w:ascii="Times New Roman" w:hAnsi="Times New Roman" w:cs="Times New Roman"/>
                <w:sz w:val="21"/>
                <w:lang w:val="en-US" w:eastAsia="zh-CN"/>
              </w:rPr>
              <w:t>有组织废气</w:t>
            </w:r>
            <w:r>
              <w:rPr>
                <w:rFonts w:hint="default" w:ascii="Times New Roman" w:hAnsi="Times New Roman" w:cs="Times New Roman"/>
                <w:sz w:val="21"/>
              </w:rPr>
              <w:t>集气罩、活性炭吸附装置、15m 高排气筒（高于楼顶 2m）</w:t>
            </w:r>
          </w:p>
        </w:tc>
        <w:tc>
          <w:tcPr>
            <w:tcW w:w="1361" w:type="dxa"/>
            <w:tcBorders>
              <w:bottom w:val="single" w:color="auto" w:sz="4" w:space="0"/>
            </w:tcBorders>
            <w:vAlign w:val="center"/>
          </w:tcPr>
          <w:p>
            <w:pPr>
              <w:jc w:val="center"/>
              <w:rPr>
                <w:rFonts w:hint="default"/>
                <w:sz w:val="21"/>
                <w:lang w:val="en-US" w:eastAsia="zh-CN"/>
              </w:rPr>
            </w:pPr>
            <w:r>
              <w:rPr>
                <w:rFonts w:hint="default" w:ascii="Times New Roman" w:hAnsi="Times New Roman" w:cs="Times New Roman"/>
                <w:sz w:val="21"/>
                <w:lang w:val="en-US" w:eastAsia="zh-CN"/>
              </w:rPr>
              <w:t>VOCs</w:t>
            </w:r>
          </w:p>
        </w:tc>
        <w:tc>
          <w:tcPr>
            <w:tcW w:w="1457" w:type="dxa"/>
            <w:tcBorders>
              <w:bottom w:val="single" w:color="auto" w:sz="4" w:space="0"/>
            </w:tcBorders>
            <w:vAlign w:val="center"/>
          </w:tcPr>
          <w:p>
            <w:pPr>
              <w:jc w:val="center"/>
              <w:rPr>
                <w:rFonts w:hint="default" w:eastAsia="宋体"/>
                <w:lang w:val="en-US" w:eastAsia="zh-CN"/>
              </w:rPr>
            </w:pPr>
            <w:r>
              <w:rPr>
                <w:rFonts w:hint="eastAsia"/>
                <w:lang w:val="en-US" w:eastAsia="zh-CN"/>
              </w:rPr>
              <w:t>活性炭吸附装置运行效果</w:t>
            </w:r>
          </w:p>
        </w:tc>
        <w:tc>
          <w:tcPr>
            <w:tcW w:w="2158" w:type="dxa"/>
            <w:tcBorders>
              <w:bottom w:val="single" w:color="auto" w:sz="4" w:space="0"/>
            </w:tcBorders>
            <w:vAlign w:val="center"/>
          </w:tcPr>
          <w:p>
            <w:pPr>
              <w:jc w:val="center"/>
              <w:rPr>
                <w:rFonts w:hint="default"/>
              </w:rPr>
            </w:pPr>
            <w:r>
              <w:rPr>
                <w:rFonts w:hint="eastAsia" w:ascii="Times New Roman" w:hAnsi="Times New Roman" w:cs="Times New Roman"/>
                <w:b w:val="0"/>
                <w:bCs w:val="0"/>
                <w:sz w:val="24"/>
                <w:szCs w:val="24"/>
                <w:lang w:val="en-US" w:eastAsia="zh-CN"/>
              </w:rPr>
              <w:t xml:space="preserve">  《大气污染物综合排放标准》（GB 16297-1996）二级</w:t>
            </w:r>
          </w:p>
        </w:tc>
        <w:tc>
          <w:tcPr>
            <w:tcW w:w="2172" w:type="dxa"/>
            <w:tcBorders>
              <w:bottom w:val="single" w:color="auto" w:sz="4" w:space="0"/>
            </w:tcBorders>
            <w:vAlign w:val="center"/>
          </w:tcPr>
          <w:p>
            <w:pPr>
              <w:ind w:firstLine="440" w:firstLineChars="200"/>
              <w:jc w:val="both"/>
              <w:rPr>
                <w:rFonts w:hint="default" w:eastAsia="宋体"/>
                <w:lang w:val="en-US" w:eastAsia="zh-CN"/>
              </w:rPr>
            </w:pPr>
            <w:r>
              <w:rPr>
                <w:rFonts w:hint="eastAsia"/>
                <w:lang w:val="en-US" w:eastAsia="zh-CN"/>
              </w:rPr>
              <w:t>本项目产生的有机废气执行标准无</w:t>
            </w:r>
            <w:r>
              <w:rPr>
                <w:rFonts w:hint="default" w:ascii="Times New Roman" w:hAnsi="Times New Roman" w:cs="Times New Roman"/>
                <w:sz w:val="21"/>
                <w:lang w:val="en-US" w:eastAsia="zh-CN"/>
              </w:rPr>
              <w:t>VOCs</w:t>
            </w:r>
            <w:r>
              <w:rPr>
                <w:rFonts w:hint="eastAsia" w:ascii="Times New Roman" w:hAnsi="Times New Roman" w:cs="Times New Roman"/>
                <w:sz w:val="21"/>
                <w:lang w:val="en-US" w:eastAsia="zh-CN"/>
              </w:rPr>
              <w:t>，因此做非甲烷总烃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0" w:hRule="atLeast"/>
          <w:jc w:val="center"/>
        </w:trPr>
        <w:tc>
          <w:tcPr>
            <w:tcW w:w="355" w:type="dxa"/>
            <w:vAlign w:val="center"/>
          </w:tcPr>
          <w:p>
            <w:pPr>
              <w:jc w:val="center"/>
              <w:rPr>
                <w:rFonts w:hint="default"/>
                <w:lang w:val="en-US" w:eastAsia="zh-CN"/>
              </w:rPr>
            </w:pPr>
            <w:r>
              <w:rPr>
                <w:rFonts w:hint="eastAsia"/>
                <w:lang w:val="en-US" w:eastAsia="zh-CN"/>
              </w:rPr>
              <w:t>3</w:t>
            </w:r>
          </w:p>
        </w:tc>
        <w:tc>
          <w:tcPr>
            <w:tcW w:w="446" w:type="dxa"/>
            <w:vAlign w:val="center"/>
          </w:tcPr>
          <w:p>
            <w:pPr>
              <w:jc w:val="center"/>
              <w:rPr>
                <w:rFonts w:hint="eastAsia" w:eastAsia="宋体"/>
                <w:lang w:val="en-US" w:eastAsia="zh-CN"/>
              </w:rPr>
            </w:pPr>
            <w:r>
              <w:rPr>
                <w:rFonts w:hint="eastAsia"/>
                <w:lang w:val="en-US" w:eastAsia="zh-CN"/>
              </w:rPr>
              <w:t>噪声</w:t>
            </w:r>
          </w:p>
        </w:tc>
        <w:tc>
          <w:tcPr>
            <w:tcW w:w="1368" w:type="dxa"/>
            <w:vAlign w:val="center"/>
          </w:tcPr>
          <w:p>
            <w:pPr>
              <w:jc w:val="center"/>
              <w:rPr>
                <w:rFonts w:hint="default"/>
                <w:lang w:val="en-US" w:eastAsia="zh-CN"/>
              </w:rPr>
            </w:pPr>
            <w:r>
              <w:rPr>
                <w:rFonts w:hint="eastAsia"/>
                <w:lang w:val="en-US" w:eastAsia="zh-CN"/>
              </w:rPr>
              <w:t>安装减震垫隔声降噪</w:t>
            </w:r>
          </w:p>
        </w:tc>
        <w:tc>
          <w:tcPr>
            <w:tcW w:w="1361" w:type="dxa"/>
            <w:vAlign w:val="center"/>
          </w:tcPr>
          <w:p>
            <w:pPr>
              <w:jc w:val="center"/>
              <w:rPr>
                <w:rFonts w:hint="default" w:eastAsia="宋体"/>
                <w:lang w:val="en-US" w:eastAsia="zh-CN"/>
              </w:rPr>
            </w:pPr>
            <w:r>
              <w:rPr>
                <w:rFonts w:hint="eastAsia"/>
                <w:lang w:val="en-US" w:eastAsia="zh-CN"/>
              </w:rPr>
              <w:t>厂界噪声</w:t>
            </w:r>
          </w:p>
        </w:tc>
        <w:tc>
          <w:tcPr>
            <w:tcW w:w="1457" w:type="dxa"/>
            <w:vAlign w:val="center"/>
          </w:tcPr>
          <w:p>
            <w:pPr>
              <w:jc w:val="center"/>
              <w:rPr>
                <w:rFonts w:hint="default" w:eastAsia="宋体"/>
                <w:lang w:val="en-US" w:eastAsia="zh-CN"/>
              </w:rPr>
            </w:pPr>
            <w:r>
              <w:rPr>
                <w:rFonts w:hint="eastAsia"/>
                <w:lang w:val="en-US" w:eastAsia="zh-CN"/>
              </w:rPr>
              <w:t>厂界噪声达标情况</w:t>
            </w:r>
          </w:p>
        </w:tc>
        <w:tc>
          <w:tcPr>
            <w:tcW w:w="2158" w:type="dxa"/>
            <w:vAlign w:val="center"/>
          </w:tcPr>
          <w:p>
            <w:pPr>
              <w:jc w:val="center"/>
              <w:rPr>
                <w:rFonts w:hint="eastAsia" w:eastAsia="宋体"/>
                <w:lang w:eastAsia="zh-CN"/>
              </w:rPr>
            </w:pPr>
            <w:r>
              <w:rPr>
                <w:rFonts w:hint="eastAsia" w:ascii="Times New Roman" w:hAnsi="Times New Roman" w:cs="Times New Roman"/>
                <w:b w:val="0"/>
                <w:bCs w:val="0"/>
                <w:sz w:val="24"/>
                <w:szCs w:val="24"/>
                <w:lang w:val="en-US" w:eastAsia="zh-CN"/>
              </w:rPr>
              <w:t>《工业企业厂界环境噪声排放标准》（GB 12348-2008）3类</w:t>
            </w:r>
          </w:p>
        </w:tc>
        <w:tc>
          <w:tcPr>
            <w:tcW w:w="2172" w:type="dxa"/>
            <w:vAlign w:val="center"/>
          </w:tcPr>
          <w:p>
            <w:pPr>
              <w:ind w:firstLine="440" w:firstLineChars="200"/>
              <w:jc w:val="both"/>
              <w:rPr>
                <w:rFonts w:hint="eastAsia"/>
                <w:lang w:val="en-US" w:eastAsia="zh-CN"/>
              </w:rPr>
            </w:pPr>
            <w:r>
              <w:rPr>
                <w:rFonts w:hint="eastAsia"/>
                <w:lang w:val="en-US" w:eastAsia="zh-CN"/>
              </w:rPr>
              <w:t>本项目运营期产生的噪声主要有各类生产设备产生的噪声。</w:t>
            </w:r>
          </w:p>
          <w:p>
            <w:pPr>
              <w:ind w:firstLine="440" w:firstLineChars="200"/>
              <w:jc w:val="both"/>
              <w:rPr>
                <w:rFonts w:hint="default"/>
                <w:lang w:val="en-US" w:eastAsia="zh-CN"/>
              </w:rPr>
            </w:pPr>
            <w:r>
              <w:rPr>
                <w:rFonts w:hint="eastAsia"/>
                <w:lang w:val="en-US" w:eastAsia="zh-CN"/>
              </w:rPr>
              <w:t>项目通过选用缔造设备、基础减震、构筑物镉生、隔声罩镉生和距离衰减等措施来降噪。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jc w:val="center"/>
        </w:trPr>
        <w:tc>
          <w:tcPr>
            <w:tcW w:w="355" w:type="dxa"/>
            <w:vMerge w:val="restart"/>
            <w:vAlign w:val="center"/>
          </w:tcPr>
          <w:p>
            <w:pPr>
              <w:jc w:val="center"/>
              <w:rPr>
                <w:rFonts w:hint="default"/>
                <w:lang w:val="en-US" w:eastAsia="zh-CN"/>
              </w:rPr>
            </w:pPr>
            <w:r>
              <w:rPr>
                <w:rFonts w:hint="eastAsia"/>
                <w:lang w:val="en-US" w:eastAsia="zh-CN"/>
              </w:rPr>
              <w:t>4</w:t>
            </w:r>
          </w:p>
        </w:tc>
        <w:tc>
          <w:tcPr>
            <w:tcW w:w="446" w:type="dxa"/>
            <w:vMerge w:val="restart"/>
            <w:vAlign w:val="center"/>
          </w:tcPr>
          <w:p>
            <w:pPr>
              <w:jc w:val="center"/>
              <w:rPr>
                <w:rFonts w:hint="default" w:eastAsia="宋体"/>
                <w:lang w:val="en-US" w:eastAsia="zh-CN"/>
              </w:rPr>
            </w:pPr>
            <w:r>
              <w:rPr>
                <w:rFonts w:hint="eastAsia"/>
                <w:lang w:val="en-US" w:eastAsia="zh-CN"/>
              </w:rPr>
              <w:t>固体废物</w:t>
            </w:r>
          </w:p>
        </w:tc>
        <w:tc>
          <w:tcPr>
            <w:tcW w:w="1368" w:type="dxa"/>
            <w:vMerge w:val="restart"/>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1361" w:type="dxa"/>
            <w:vAlign w:val="center"/>
          </w:tcPr>
          <w:p>
            <w:pPr>
              <w:jc w:val="center"/>
              <w:rPr>
                <w:rFonts w:hint="default" w:ascii="Times New Roman" w:hAnsi="Times New Roman" w:cs="Times New Roman"/>
                <w:lang w:val="zh-CN" w:eastAsia="zh-CN"/>
              </w:rPr>
            </w:pPr>
            <w:r>
              <w:rPr>
                <w:rFonts w:hint="default" w:ascii="Times New Roman" w:hAnsi="Times New Roman" w:cs="Times New Roman"/>
                <w:lang w:val="en-US" w:eastAsia="zh-CN"/>
              </w:rPr>
              <w:t>边角料、不合格品、废包装材料</w:t>
            </w:r>
          </w:p>
        </w:tc>
        <w:tc>
          <w:tcPr>
            <w:tcW w:w="145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交由环卫统一清运</w:t>
            </w:r>
          </w:p>
        </w:tc>
        <w:tc>
          <w:tcPr>
            <w:tcW w:w="2158" w:type="dxa"/>
            <w:vMerge w:val="restart"/>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处置率100%</w:t>
            </w:r>
          </w:p>
        </w:tc>
        <w:tc>
          <w:tcPr>
            <w:tcW w:w="2172"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355" w:type="dxa"/>
            <w:vMerge w:val="continue"/>
            <w:vAlign w:val="center"/>
          </w:tcPr>
          <w:p>
            <w:pPr>
              <w:jc w:val="center"/>
              <w:rPr>
                <w:rFonts w:hint="default"/>
                <w:lang w:val="en-US" w:eastAsia="zh-CN"/>
              </w:rPr>
            </w:pPr>
          </w:p>
        </w:tc>
        <w:tc>
          <w:tcPr>
            <w:tcW w:w="446" w:type="dxa"/>
            <w:vMerge w:val="continue"/>
            <w:vAlign w:val="center"/>
          </w:tcPr>
          <w:p>
            <w:pPr>
              <w:jc w:val="center"/>
              <w:rPr>
                <w:rFonts w:hint="default"/>
              </w:rPr>
            </w:pPr>
          </w:p>
        </w:tc>
        <w:tc>
          <w:tcPr>
            <w:tcW w:w="1368" w:type="dxa"/>
            <w:vMerge w:val="continue"/>
            <w:vAlign w:val="center"/>
          </w:tcPr>
          <w:p>
            <w:pPr>
              <w:jc w:val="center"/>
              <w:rPr>
                <w:rFonts w:hint="default" w:ascii="Times New Roman" w:hAnsi="Times New Roman" w:cs="Times New Roman"/>
              </w:rPr>
            </w:pPr>
          </w:p>
        </w:tc>
        <w:tc>
          <w:tcPr>
            <w:tcW w:w="1361" w:type="dxa"/>
            <w:vAlign w:val="center"/>
          </w:tcPr>
          <w:p>
            <w:pPr>
              <w:jc w:val="center"/>
              <w:rPr>
                <w:rFonts w:hint="default" w:ascii="Times New Roman" w:hAnsi="Times New Roman" w:cs="Times New Roman"/>
                <w:lang w:val="zh-CN" w:eastAsia="zh-CN"/>
              </w:rPr>
            </w:pPr>
            <w:r>
              <w:rPr>
                <w:rFonts w:hint="default" w:ascii="Times New Roman" w:hAnsi="Times New Roman" w:cs="Times New Roman"/>
                <w:lang w:val="en-US" w:eastAsia="zh-CN"/>
              </w:rPr>
              <w:t>生活垃圾</w:t>
            </w:r>
          </w:p>
        </w:tc>
        <w:tc>
          <w:tcPr>
            <w:tcW w:w="145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交由环卫统一清运</w:t>
            </w:r>
          </w:p>
        </w:tc>
        <w:tc>
          <w:tcPr>
            <w:tcW w:w="2158" w:type="dxa"/>
            <w:vMerge w:val="continue"/>
            <w:vAlign w:val="center"/>
          </w:tcPr>
          <w:p>
            <w:pPr>
              <w:jc w:val="center"/>
              <w:rPr>
                <w:rFonts w:hint="default" w:ascii="Times New Roman" w:hAnsi="Times New Roman" w:cs="Times New Roman"/>
              </w:rPr>
            </w:pPr>
          </w:p>
        </w:tc>
        <w:tc>
          <w:tcPr>
            <w:tcW w:w="2172" w:type="dxa"/>
            <w:vAlign w:val="center"/>
          </w:tcPr>
          <w:p>
            <w:pPr>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jc w:val="center"/>
        </w:trPr>
        <w:tc>
          <w:tcPr>
            <w:tcW w:w="355" w:type="dxa"/>
            <w:vMerge w:val="continue"/>
            <w:vAlign w:val="center"/>
          </w:tcPr>
          <w:p>
            <w:pPr>
              <w:jc w:val="center"/>
              <w:rPr>
                <w:rFonts w:hint="default"/>
                <w:lang w:val="en-US" w:eastAsia="zh-CN"/>
              </w:rPr>
            </w:pPr>
          </w:p>
        </w:tc>
        <w:tc>
          <w:tcPr>
            <w:tcW w:w="446" w:type="dxa"/>
            <w:vMerge w:val="continue"/>
            <w:vAlign w:val="center"/>
          </w:tcPr>
          <w:p>
            <w:pPr>
              <w:jc w:val="center"/>
              <w:rPr>
                <w:rFonts w:hint="default"/>
              </w:rPr>
            </w:pPr>
          </w:p>
        </w:tc>
        <w:tc>
          <w:tcPr>
            <w:tcW w:w="1368" w:type="dxa"/>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危险废物</w:t>
            </w:r>
          </w:p>
        </w:tc>
        <w:tc>
          <w:tcPr>
            <w:tcW w:w="1361" w:type="dxa"/>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废包装桶、废 PS 版、废树脂版、废菲林、废含油抹</w:t>
            </w:r>
          </w:p>
          <w:p>
            <w:pPr>
              <w:jc w:val="center"/>
              <w:rPr>
                <w:rFonts w:hint="default" w:ascii="Times New Roman" w:hAnsi="Times New Roman" w:cs="Times New Roman"/>
              </w:rPr>
            </w:pPr>
            <w:r>
              <w:rPr>
                <w:rFonts w:hint="default" w:ascii="Times New Roman" w:hAnsi="Times New Roman" w:cs="Times New Roman"/>
                <w:lang w:val="en-US" w:eastAsia="zh-CN"/>
              </w:rPr>
              <w:t>布、废活性炭</w:t>
            </w:r>
          </w:p>
        </w:tc>
        <w:tc>
          <w:tcPr>
            <w:tcW w:w="1457" w:type="dxa"/>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交由有资质的危废处理单位处置</w:t>
            </w:r>
          </w:p>
        </w:tc>
        <w:tc>
          <w:tcPr>
            <w:tcW w:w="2158" w:type="dxa"/>
            <w:vMerge w:val="continue"/>
            <w:vAlign w:val="center"/>
          </w:tcPr>
          <w:p>
            <w:pPr>
              <w:jc w:val="center"/>
              <w:rPr>
                <w:rFonts w:hint="default" w:ascii="Times New Roman" w:hAnsi="Times New Roman" w:cs="Times New Roman"/>
              </w:rPr>
            </w:pPr>
          </w:p>
        </w:tc>
        <w:tc>
          <w:tcPr>
            <w:tcW w:w="2172" w:type="dxa"/>
            <w:vAlign w:val="top"/>
          </w:tcPr>
          <w:p>
            <w:pPr>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 xml:space="preserve">        已与贵阳海创环保科技有限责任公司签订危废处置合作协议。</w:t>
            </w:r>
          </w:p>
        </w:tc>
      </w:tr>
    </w:tbl>
    <w:p>
      <w:pPr>
        <w:spacing w:after="0" w:line="242" w:lineRule="auto"/>
        <w:jc w:val="both"/>
        <w:rPr>
          <w:sz w:val="21"/>
        </w:rPr>
        <w:sectPr>
          <w:pgSz w:w="11910" w:h="16840"/>
          <w:pgMar w:top="1400" w:right="1000" w:bottom="1180" w:left="1000" w:header="0" w:footer="915" w:gutter="0"/>
          <w:pgBorders>
            <w:top w:val="none" w:sz="0" w:space="0"/>
            <w:left w:val="none" w:sz="0" w:space="0"/>
            <w:bottom w:val="none" w:sz="0" w:space="0"/>
            <w:right w:val="none" w:sz="0" w:space="0"/>
          </w:pgBorders>
          <w:cols w:space="720" w:num="1"/>
        </w:sectPr>
      </w:pPr>
    </w:p>
    <w:p>
      <w:pPr>
        <w:pStyle w:val="5"/>
        <w:rPr>
          <w:b/>
          <w:sz w:val="20"/>
        </w:rPr>
      </w:pPr>
      <w:r>
        <w:pict>
          <v:group id="_x0000_s1066" o:spid="_x0000_s1066" o:spt="203" style="position:absolute;left:0pt;margin-left:66.45pt;margin-top:90pt;height:411pt;width:709.2pt;mso-position-horizontal-relative:page;mso-position-vertical-relative:page;z-index:-251649024;mso-width-relative:page;mso-height-relative:page;" coordorigin="1329,1800" coordsize="14184,8220">
            <o:lock v:ext="edit"/>
            <v:line id="_x0000_s1067" o:spid="_x0000_s1067" o:spt="20" style="position:absolute;left:1329;top:1805;height:0;width:14184;" stroked="t" coordsize="21600,21600">
              <v:path arrowok="t"/>
              <v:fill focussize="0,0"/>
              <v:stroke weight="0.48pt" color="#000000"/>
              <v:imagedata o:title=""/>
              <o:lock v:ext="edit"/>
            </v:line>
            <v:line id="_x0000_s1068" o:spid="_x0000_s1068" o:spt="20" style="position:absolute;left:1329;top:10015;height:0;width:14184;" stroked="t" coordsize="21600,21600">
              <v:path arrowok="t"/>
              <v:fill focussize="0,0"/>
              <v:stroke weight="0.48pt" color="#000000"/>
              <v:imagedata o:title=""/>
              <o:lock v:ext="edit"/>
            </v:line>
            <v:line id="_x0000_s1069" o:spid="_x0000_s1069" o:spt="20" style="position:absolute;left:1334;top:1800;height:8210;width:0;" stroked="t" coordsize="21600,21600">
              <v:path arrowok="t"/>
              <v:fill focussize="0,0"/>
              <v:stroke weight="0.48pt" color="#000000"/>
              <v:imagedata o:title=""/>
              <o:lock v:ext="edit"/>
            </v:line>
            <v:line id="_x0000_s1070" o:spid="_x0000_s1070" o:spt="20" style="position:absolute;left:15509;top:1800;height:8210;width:0;" stroked="t" coordsize="21600,21600">
              <v:path arrowok="t"/>
              <v:fill focussize="0,0"/>
              <v:stroke weight="0.48pt" color="#000000"/>
              <v:imagedata o:title=""/>
              <o:lock v:ext="edit"/>
            </v:line>
          </v:group>
        </w:pict>
      </w:r>
    </w:p>
    <w:p>
      <w:pPr>
        <w:pStyle w:val="5"/>
        <w:spacing w:before="11"/>
        <w:rPr>
          <w:b/>
          <w:sz w:val="29"/>
        </w:rPr>
      </w:pPr>
    </w:p>
    <w:p>
      <w:pPr>
        <w:pStyle w:val="3"/>
        <w:spacing w:before="66"/>
        <w:ind w:left="102"/>
      </w:pPr>
      <w:r>
        <w:t>三、检测点位分布示意图</w:t>
      </w:r>
    </w:p>
    <w:p>
      <w:pPr>
        <w:pStyle w:val="5"/>
        <w:spacing w:before="159"/>
        <w:ind w:left="102"/>
      </w:pPr>
      <w:r>
        <w:t xml:space="preserve">项目检测点位分布示意图详见图 </w:t>
      </w:r>
      <w:r>
        <w:rPr>
          <w:rFonts w:ascii="Times New Roman" w:eastAsia="Times New Roman"/>
        </w:rPr>
        <w:t>3-1</w:t>
      </w:r>
      <w:r>
        <w:t>。</w:t>
      </w:r>
    </w:p>
    <w:p>
      <w:pPr>
        <w:pStyle w:val="5"/>
        <w:rPr>
          <w:sz w:val="20"/>
        </w:rPr>
      </w:pPr>
      <w:r>
        <w:drawing>
          <wp:inline distT="0" distB="0" distL="114300" distR="114300">
            <wp:extent cx="6156325" cy="4434205"/>
            <wp:effectExtent l="0" t="0" r="317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6156325" cy="4434205"/>
                    </a:xfrm>
                    <a:prstGeom prst="rect">
                      <a:avLst/>
                    </a:prstGeom>
                    <a:noFill/>
                    <a:ln>
                      <a:noFill/>
                    </a:ln>
                  </pic:spPr>
                </pic:pic>
              </a:graphicData>
            </a:graphic>
          </wp:inline>
        </w:drawing>
      </w:r>
    </w:p>
    <w:p>
      <w:pPr>
        <w:pStyle w:val="5"/>
        <w:rPr>
          <w:sz w:val="20"/>
        </w:rPr>
      </w:pPr>
    </w:p>
    <w:p>
      <w:pPr>
        <w:pStyle w:val="5"/>
        <w:spacing w:before="10"/>
        <w:rPr>
          <w:sz w:val="22"/>
        </w:rPr>
      </w:pPr>
    </w:p>
    <w:p>
      <w:pPr>
        <w:spacing w:before="92"/>
        <w:ind w:left="6534" w:right="5845" w:firstLine="0"/>
        <w:jc w:val="center"/>
        <w:rPr>
          <w:rFonts w:ascii="Times New Roman"/>
          <w:sz w:val="18"/>
        </w:rPr>
      </w:pPr>
      <w:r>
        <w:rPr>
          <w:rFonts w:ascii="Times New Roman"/>
          <w:sz w:val="18"/>
        </w:rPr>
        <w:t>11</w:t>
      </w:r>
    </w:p>
    <w:p>
      <w:pPr>
        <w:spacing w:after="0"/>
        <w:jc w:val="center"/>
        <w:rPr>
          <w:rFonts w:ascii="Times New Roman"/>
          <w:sz w:val="18"/>
        </w:rPr>
        <w:sectPr>
          <w:footerReference r:id="rId8" w:type="default"/>
          <w:pgSz w:w="16840" w:h="11910" w:orient="landscape"/>
          <w:pgMar w:top="1100" w:right="2420" w:bottom="280" w:left="1820" w:header="0" w:footer="0" w:gutter="0"/>
          <w:pgBorders>
            <w:top w:val="none" w:sz="0" w:space="0"/>
            <w:left w:val="none" w:sz="0" w:space="0"/>
            <w:bottom w:val="none" w:sz="0" w:space="0"/>
            <w:right w:val="none" w:sz="0" w:space="0"/>
          </w:pgBorders>
          <w:cols w:space="720" w:num="1"/>
        </w:sectPr>
      </w:pPr>
    </w:p>
    <w:p>
      <w:pPr>
        <w:pStyle w:val="2"/>
        <w:tabs>
          <w:tab w:val="left" w:pos="1410"/>
        </w:tabs>
        <w:ind w:left="638"/>
      </w:pPr>
      <w:r>
        <w:pict>
          <v:group id="_x0000_s1074" o:spid="_x0000_s1074" o:spt="203" style="position:absolute;left:0pt;margin-left:57.45pt;margin-top:90.15pt;height:678.45pt;width:480.3pt;mso-position-horizontal-relative:page;mso-position-vertical-relative:page;z-index:-251648000;mso-width-relative:page;mso-height-relative:page;" coordorigin="1150,1804" coordsize="9606,13569">
            <o:lock v:ext="edit"/>
            <v:line id="_x0000_s1075" o:spid="_x0000_s1075" o:spt="20" style="position:absolute;left:1150;top:1808;height:0;width:9606;" stroked="t" coordsize="21600,21600">
              <v:path arrowok="t"/>
              <v:fill focussize="0,0"/>
              <v:stroke weight="0.48pt" color="#000000"/>
              <v:imagedata o:title=""/>
              <o:lock v:ext="edit"/>
            </v:line>
            <v:line id="_x0000_s1076" o:spid="_x0000_s1076" o:spt="20" style="position:absolute;left:1150;top:15367;height:0;width:9606;" stroked="t" coordsize="21600,21600">
              <v:path arrowok="t"/>
              <v:fill focussize="0,0"/>
              <v:stroke weight="0.48pt" color="#000000"/>
              <v:imagedata o:title=""/>
              <o:lock v:ext="edit"/>
            </v:line>
            <v:line id="_x0000_s1077" o:spid="_x0000_s1077" o:spt="20" style="position:absolute;left:1154;top:1804;height:13558;width:0;" stroked="t" coordsize="21600,21600">
              <v:path arrowok="t"/>
              <v:fill focussize="0,0"/>
              <v:stroke weight="0.48pt" color="#000000"/>
              <v:imagedata o:title=""/>
              <o:lock v:ext="edit"/>
            </v:line>
            <v:line id="_x0000_s1078" o:spid="_x0000_s1078" o:spt="20" style="position:absolute;left:10751;top:1804;height:13558;width:0;" stroked="t" coordsize="21600,21600">
              <v:path arrowok="t"/>
              <v:fill focussize="0,0"/>
              <v:stroke weight="0.48pt" color="#000000"/>
              <v:imagedata o:title=""/>
              <o:lock v:ext="edit"/>
            </v:line>
          </v:group>
        </w:pict>
      </w:r>
      <w:bookmarkStart w:id="4" w:name="_TOC_250004"/>
      <w:r>
        <w:t>表</w:t>
      </w:r>
      <w:r>
        <w:rPr>
          <w:spacing w:val="-71"/>
        </w:rPr>
        <w:t xml:space="preserve"> </w:t>
      </w:r>
      <w:r>
        <w:rPr>
          <w:rFonts w:ascii="Times New Roman" w:eastAsia="Times New Roman"/>
        </w:rPr>
        <w:t>4</w:t>
      </w:r>
      <w:r>
        <w:rPr>
          <w:rFonts w:ascii="Times New Roman" w:eastAsia="Times New Roman"/>
        </w:rPr>
        <w:tab/>
      </w:r>
      <w:bookmarkEnd w:id="4"/>
      <w:r>
        <w:t>项目环境影响报告表主要结论及审批决定</w:t>
      </w:r>
    </w:p>
    <w:p>
      <w:pPr>
        <w:pStyle w:val="3"/>
        <w:spacing w:before="13"/>
        <w:ind w:left="102"/>
      </w:pPr>
      <w:r>
        <w:t>一、环境影响报告表主要结论与建议</w:t>
      </w:r>
    </w:p>
    <w:p>
      <w:pPr>
        <w:spacing w:after="0" w:line="305" w:lineRule="exact"/>
      </w:pPr>
    </w:p>
    <w:p>
      <w:pPr>
        <w:pStyle w:val="3"/>
        <w:bidi w:val="0"/>
        <w:rPr>
          <w:rFonts w:hint="default"/>
          <w:lang w:val="en-US" w:eastAsia="zh-CN"/>
        </w:rPr>
      </w:pPr>
      <w:bookmarkStart w:id="5" w:name="_Toc14043"/>
      <w:r>
        <w:rPr>
          <w:rFonts w:hint="default"/>
          <w:lang w:val="en-US" w:eastAsia="zh-CN"/>
        </w:rPr>
        <w:t>1、环境</w:t>
      </w:r>
      <w:r>
        <w:rPr>
          <w:rFonts w:hint="eastAsia"/>
          <w:lang w:val="en-US" w:eastAsia="zh-CN"/>
        </w:rPr>
        <w:t>影响</w:t>
      </w:r>
      <w:r>
        <w:rPr>
          <w:rFonts w:hint="default"/>
          <w:lang w:val="en-US" w:eastAsia="zh-CN"/>
        </w:rPr>
        <w:t>报告表主要意见</w:t>
      </w:r>
      <w:bookmarkEnd w:id="5"/>
    </w:p>
    <w:p>
      <w:pPr>
        <w:pStyle w:val="5"/>
        <w:spacing w:before="129" w:line="340" w:lineRule="auto"/>
        <w:ind w:left="297" w:right="247" w:firstLine="480"/>
        <w:rPr>
          <w:rFonts w:hint="eastAsia"/>
          <w:lang w:val="en-US" w:eastAsia="zh-CN"/>
        </w:rPr>
      </w:pPr>
      <w:r>
        <w:rPr>
          <w:rFonts w:hint="eastAsia" w:ascii="宋体" w:hAnsi="宋体" w:eastAsia="宋体" w:cs="宋体"/>
          <w:sz w:val="24"/>
          <w:szCs w:val="24"/>
          <w:lang w:val="en-US" w:eastAsia="zh-CN" w:bidi="zh-CN"/>
        </w:rPr>
        <w:t xml:space="preserve"> </w:t>
      </w:r>
      <w:r>
        <w:rPr>
          <w:rFonts w:hint="eastAsia"/>
          <w:lang w:val="en-US" w:eastAsia="zh-CN"/>
        </w:rPr>
        <w:t>（1）本次环评表的评价结论是以贵阳天星智能包装有限公司申报的上述产品的原辅材料种类、用量、生产工艺及污染物防治对策为基础的，如果该公司扩大生产规模，或者原材料种类用量、生产工艺及污染物防治对策等有所变化时，应由建设单位按环境保护法规的要求另行申报。</w:t>
      </w:r>
    </w:p>
    <w:p>
      <w:pPr>
        <w:pStyle w:val="5"/>
        <w:spacing w:before="129" w:line="340" w:lineRule="auto"/>
        <w:ind w:left="297" w:right="247" w:firstLine="480"/>
        <w:rPr>
          <w:rFonts w:hint="eastAsia"/>
          <w:lang w:val="en-US" w:eastAsia="zh-CN"/>
        </w:rPr>
      </w:pPr>
      <w:r>
        <w:rPr>
          <w:rFonts w:hint="eastAsia"/>
          <w:lang w:val="en-US" w:eastAsia="zh-CN"/>
        </w:rPr>
        <w:t xml:space="preserve"> （2）项目废水接入管网，经过污水处理厂处理达标排放。废水、废气排污口、噪声排放出以及固废暂存处应根据国家环保局《排污口设置及规范化管理办法》的规定，进行规范化设置。</w:t>
      </w:r>
    </w:p>
    <w:p>
      <w:pPr>
        <w:pStyle w:val="5"/>
        <w:spacing w:before="129" w:line="340" w:lineRule="auto"/>
        <w:ind w:left="297" w:right="247" w:firstLine="480"/>
        <w:rPr>
          <w:rFonts w:hint="eastAsia"/>
          <w:lang w:val="en-US" w:eastAsia="zh-CN"/>
        </w:rPr>
      </w:pPr>
      <w:r>
        <w:rPr>
          <w:rFonts w:hint="eastAsia"/>
          <w:lang w:val="en-US" w:eastAsia="zh-CN"/>
        </w:rPr>
        <w:t xml:space="preserve"> （3）加强厂区内绿化建设，严格执行“三同时”制度。</w:t>
      </w:r>
    </w:p>
    <w:p>
      <w:pPr>
        <w:pStyle w:val="5"/>
        <w:spacing w:before="129" w:line="340" w:lineRule="auto"/>
        <w:ind w:left="297" w:right="247" w:firstLine="480"/>
        <w:rPr>
          <w:rFonts w:hint="eastAsia"/>
          <w:lang w:val="en-US" w:eastAsia="zh-CN"/>
        </w:rPr>
      </w:pPr>
      <w:r>
        <w:rPr>
          <w:rFonts w:hint="eastAsia"/>
          <w:lang w:val="en-US" w:eastAsia="zh-CN"/>
        </w:rPr>
        <w:t xml:space="preserve"> （4）进一步减少挥发性有机物排放量，改进操作、加强管理。</w:t>
      </w:r>
    </w:p>
    <w:p>
      <w:pPr>
        <w:pStyle w:val="5"/>
        <w:spacing w:before="129" w:line="340" w:lineRule="auto"/>
        <w:ind w:left="297" w:right="247" w:firstLine="480"/>
        <w:rPr>
          <w:rFonts w:hint="default"/>
          <w:lang w:val="en-US" w:eastAsia="zh-CN"/>
        </w:rPr>
      </w:pPr>
      <w:r>
        <w:rPr>
          <w:rFonts w:hint="eastAsia"/>
          <w:lang w:val="en-US" w:eastAsia="zh-CN"/>
        </w:rPr>
        <w:t xml:space="preserve"> （5）本项目区域管网已完善，可接入龙洞堡污水处理厂，故建议在取得主管部门同意的情况下，目前进入的宝信捷污水处理站可停止运行，以免造成资源浪费。</w:t>
      </w:r>
    </w:p>
    <w:p>
      <w:pPr>
        <w:pStyle w:val="5"/>
        <w:spacing w:before="129" w:line="340" w:lineRule="auto"/>
        <w:ind w:left="297" w:right="247" w:firstLine="480"/>
        <w:rPr>
          <w:rFonts w:hint="eastAsia"/>
          <w:b/>
          <w:bCs/>
          <w:lang w:val="en-US" w:eastAsia="zh-CN"/>
        </w:rPr>
      </w:pPr>
      <w:bookmarkStart w:id="6" w:name="_Toc31061"/>
      <w:r>
        <w:rPr>
          <w:rFonts w:hint="eastAsia"/>
          <w:b/>
          <w:bCs/>
          <w:lang w:val="en-US" w:eastAsia="zh-CN"/>
        </w:rPr>
        <w:t>2、批复要求</w:t>
      </w:r>
      <w:bookmarkEnd w:id="6"/>
    </w:p>
    <w:p>
      <w:pPr>
        <w:pStyle w:val="5"/>
        <w:spacing w:before="129" w:line="340" w:lineRule="auto"/>
        <w:ind w:left="297" w:right="247" w:firstLine="480"/>
        <w:rPr>
          <w:rFonts w:hint="eastAsia"/>
          <w:lang w:val="en-US" w:eastAsia="zh-CN"/>
        </w:rPr>
      </w:pPr>
      <w:r>
        <w:rPr>
          <w:rFonts w:hint="eastAsia"/>
          <w:lang w:val="en-US" w:eastAsia="zh-CN"/>
        </w:rPr>
        <w:t xml:space="preserve"> （1）施工期环境管理要求</w:t>
      </w:r>
    </w:p>
    <w:p>
      <w:pPr>
        <w:pStyle w:val="5"/>
        <w:spacing w:before="129" w:line="340" w:lineRule="auto"/>
        <w:ind w:left="297" w:right="247" w:firstLine="480"/>
        <w:rPr>
          <w:rFonts w:hint="eastAsia"/>
          <w:lang w:val="en-US" w:eastAsia="zh-CN"/>
        </w:rPr>
      </w:pPr>
      <w:r>
        <w:rPr>
          <w:rFonts w:hint="eastAsia"/>
          <w:lang w:val="en-US" w:eastAsia="zh-CN"/>
        </w:rPr>
        <w:t>项目系租用厂房建设，施工期建筑垃圾运至指定的弃渣场处理；施工期合理安排施工作业时间，并采取有效措施，减少施工噪声对环境敏感点的影响，确保施工期噪声达到《建筑施工场界环境噪声排放标准》（GB 12523-2011）；项目完工后，应及时清理施工营（场）地和临时工程。</w:t>
      </w:r>
    </w:p>
    <w:p>
      <w:pPr>
        <w:pStyle w:val="5"/>
        <w:spacing w:before="129" w:line="340" w:lineRule="auto"/>
        <w:ind w:left="297" w:right="247" w:firstLine="480"/>
        <w:rPr>
          <w:rFonts w:hint="eastAsia"/>
          <w:lang w:val="en-US" w:eastAsia="zh-CN"/>
        </w:rPr>
      </w:pPr>
      <w:r>
        <w:rPr>
          <w:rFonts w:hint="eastAsia"/>
          <w:lang w:val="en-US" w:eastAsia="zh-CN"/>
        </w:rPr>
        <w:t xml:space="preserve"> （2）运营期环境管理要求</w:t>
      </w:r>
    </w:p>
    <w:p>
      <w:pPr>
        <w:pStyle w:val="5"/>
        <w:spacing w:before="129" w:line="340" w:lineRule="auto"/>
        <w:ind w:left="297" w:right="247" w:firstLine="480"/>
        <w:rPr>
          <w:rFonts w:hint="eastAsia"/>
          <w:lang w:val="en-US" w:eastAsia="zh-CN"/>
        </w:rPr>
      </w:pPr>
      <w:r>
        <w:rPr>
          <w:rFonts w:hint="eastAsia"/>
          <w:lang w:val="en-US" w:eastAsia="zh-CN"/>
        </w:rPr>
        <w:t xml:space="preserve">   1）水环境管理要求</w:t>
      </w:r>
    </w:p>
    <w:p>
      <w:pPr>
        <w:pStyle w:val="5"/>
        <w:spacing w:before="129" w:line="340" w:lineRule="auto"/>
        <w:ind w:left="297" w:right="247" w:firstLine="480"/>
        <w:rPr>
          <w:rFonts w:hint="eastAsia"/>
          <w:lang w:val="en-US" w:eastAsia="zh-CN"/>
        </w:rPr>
      </w:pPr>
      <w:r>
        <w:rPr>
          <w:rFonts w:hint="eastAsia"/>
          <w:lang w:val="en-US" w:eastAsia="zh-CN"/>
        </w:rPr>
        <w:t>项目产生的污水需经宝信捷污水处理站处理达到《污水综合排放标准》（GB 8978-1996）三级标准后，进入龙洞堡污水处理厂处理。</w:t>
      </w:r>
    </w:p>
    <w:p>
      <w:pPr>
        <w:pStyle w:val="5"/>
        <w:spacing w:before="129" w:line="340" w:lineRule="auto"/>
        <w:ind w:left="297" w:right="247" w:firstLine="480"/>
        <w:rPr>
          <w:rFonts w:hint="eastAsia"/>
          <w:lang w:val="en-US" w:eastAsia="zh-CN"/>
        </w:rPr>
      </w:pPr>
      <w:r>
        <w:rPr>
          <w:rFonts w:hint="eastAsia"/>
          <w:lang w:val="en-US" w:eastAsia="zh-CN"/>
        </w:rPr>
        <w:t xml:space="preserve">   2）大气环境管理要求</w:t>
      </w:r>
    </w:p>
    <w:p>
      <w:pPr>
        <w:pStyle w:val="5"/>
        <w:spacing w:before="129" w:line="340" w:lineRule="auto"/>
        <w:ind w:left="297" w:right="247" w:firstLine="480"/>
        <w:rPr>
          <w:rFonts w:hint="eastAsia"/>
          <w:lang w:val="en-US" w:eastAsia="zh-CN"/>
        </w:rPr>
      </w:pPr>
      <w:r>
        <w:rPr>
          <w:rFonts w:hint="eastAsia"/>
          <w:lang w:val="en-US" w:eastAsia="zh-CN"/>
        </w:rPr>
        <w:t>项目产生的印刷废气（VOCs）收集后经活性炭吸附处理，达到《大气污染物综合排放标准》（GB 16297-1996）二级标准后排放。</w:t>
      </w:r>
    </w:p>
    <w:p>
      <w:pPr>
        <w:pStyle w:val="5"/>
        <w:spacing w:before="129" w:line="340" w:lineRule="auto"/>
        <w:ind w:left="297" w:right="247" w:firstLine="480"/>
        <w:rPr>
          <w:rFonts w:hint="eastAsia"/>
          <w:lang w:val="en-US" w:eastAsia="zh-CN"/>
        </w:rPr>
      </w:pPr>
      <w:r>
        <w:rPr>
          <w:rFonts w:hint="eastAsia"/>
          <w:lang w:val="en-US" w:eastAsia="zh-CN"/>
        </w:rPr>
        <w:t xml:space="preserve">        </w:t>
      </w:r>
    </w:p>
    <w:p>
      <w:pPr>
        <w:pStyle w:val="5"/>
        <w:spacing w:before="129" w:line="340" w:lineRule="auto"/>
        <w:ind w:left="297" w:right="247" w:firstLine="480"/>
        <w:rPr>
          <w:rFonts w:hint="eastAsia"/>
          <w:lang w:val="en-US" w:eastAsia="zh-CN"/>
        </w:rPr>
      </w:pPr>
    </w:p>
    <w:p>
      <w:pPr>
        <w:pStyle w:val="5"/>
        <w:spacing w:before="129" w:line="340" w:lineRule="auto"/>
        <w:ind w:left="297" w:right="247" w:firstLine="763" w:firstLineChars="318"/>
        <w:rPr>
          <w:rFonts w:hint="eastAsia"/>
          <w:lang w:val="en-US" w:eastAsia="zh-CN"/>
        </w:rPr>
      </w:pPr>
      <w:r>
        <w:rPr>
          <w:rFonts w:hint="eastAsia"/>
          <w:lang w:val="en-US" w:eastAsia="zh-CN"/>
        </w:rPr>
        <w:t>3）固体废物管理要求</w:t>
      </w:r>
    </w:p>
    <w:p>
      <w:pPr>
        <w:pStyle w:val="5"/>
        <w:spacing w:before="129" w:line="340" w:lineRule="auto"/>
        <w:ind w:left="297" w:right="247" w:firstLine="480"/>
        <w:rPr>
          <w:rFonts w:hint="eastAsia"/>
          <w:lang w:val="en-US" w:eastAsia="zh-CN"/>
        </w:rPr>
      </w:pPr>
      <w:r>
        <w:rPr>
          <w:rFonts w:hint="eastAsia"/>
          <w:lang w:val="en-US" w:eastAsia="zh-CN"/>
        </w:rPr>
        <w:t xml:space="preserve">项目生活垃圾统一收集后交由环卫部门统一处理。            </w:t>
      </w:r>
    </w:p>
    <w:p>
      <w:pPr>
        <w:pStyle w:val="5"/>
        <w:spacing w:before="129" w:line="340" w:lineRule="auto"/>
        <w:ind w:left="297" w:right="247" w:firstLine="480"/>
        <w:rPr>
          <w:rFonts w:hint="eastAsia"/>
          <w:lang w:val="en-US" w:eastAsia="zh-CN"/>
        </w:rPr>
      </w:pPr>
      <w:r>
        <w:pict>
          <v:group id="_x0000_s1079" o:spid="_x0000_s1079" o:spt="203" style="position:absolute;left:0pt;margin-left:57.45pt;margin-top:72pt;height:678.45pt;width:480.3pt;mso-position-horizontal-relative:page;mso-position-vertical-relative:page;z-index:-251646976;mso-width-relative:page;mso-height-relative:page;" coordorigin="1150,1440" coordsize="9606,13569">
            <o:lock v:ext="edit"/>
            <v:line id="_x0000_s1080" o:spid="_x0000_s1080" o:spt="20" style="position:absolute;left:1150;top:1445;height:0;width:9606;" stroked="t" coordsize="21600,21600">
              <v:path arrowok="t"/>
              <v:fill focussize="0,0"/>
              <v:stroke weight="0.48pt" color="#000000"/>
              <v:imagedata o:title=""/>
              <o:lock v:ext="edit"/>
            </v:line>
            <v:line id="_x0000_s1081" o:spid="_x0000_s1081" o:spt="20" style="position:absolute;left:1150;top:15004;height:0;width:9606;" stroked="t" coordsize="21600,21600">
              <v:path arrowok="t"/>
              <v:fill focussize="0,0"/>
              <v:stroke weight="0.48pt" color="#000000"/>
              <v:imagedata o:title=""/>
              <o:lock v:ext="edit"/>
            </v:line>
            <v:line id="_x0000_s1082" o:spid="_x0000_s1082" o:spt="20" style="position:absolute;left:1154;top:1440;height:13559;width:0;" stroked="t" coordsize="21600,21600">
              <v:path arrowok="t"/>
              <v:fill focussize="0,0"/>
              <v:stroke weight="0.48pt" color="#000000"/>
              <v:imagedata o:title=""/>
              <o:lock v:ext="edit"/>
            </v:line>
            <v:line id="_x0000_s1083" o:spid="_x0000_s1083" o:spt="20" style="position:absolute;left:10751;top:1440;height:13559;width:0;" stroked="t" coordsize="21600,21600">
              <v:path arrowok="t"/>
              <v:fill focussize="0,0"/>
              <v:stroke weight="0.48pt" color="#000000"/>
              <v:imagedata o:title=""/>
              <o:lock v:ext="edit"/>
            </v:line>
          </v:group>
        </w:pict>
      </w:r>
      <w:r>
        <w:rPr>
          <w:rFonts w:hint="eastAsia"/>
          <w:lang w:val="en-US" w:eastAsia="zh-CN"/>
        </w:rPr>
        <w:t>项目产生的废包装桶、废含油抹布、废PS版、废树脂版、废菲林、废活性炭属于危险废物，交由有危险废物处置资质的单位处理。</w:t>
      </w:r>
    </w:p>
    <w:p>
      <w:pPr>
        <w:pStyle w:val="5"/>
        <w:spacing w:before="129" w:line="340" w:lineRule="auto"/>
        <w:ind w:left="297" w:right="247" w:firstLine="480"/>
        <w:rPr>
          <w:rFonts w:hint="eastAsia"/>
          <w:lang w:val="en-US" w:eastAsia="zh-CN"/>
        </w:rPr>
      </w:pPr>
      <w:r>
        <w:rPr>
          <w:rFonts w:hint="eastAsia"/>
          <w:lang w:val="en-US" w:eastAsia="zh-CN"/>
        </w:rPr>
        <w:t xml:space="preserve">  4）声环境管理要求</w:t>
      </w:r>
    </w:p>
    <w:p>
      <w:pPr>
        <w:pStyle w:val="5"/>
        <w:spacing w:before="129" w:line="340" w:lineRule="auto"/>
        <w:ind w:left="297" w:right="247" w:firstLine="480"/>
        <w:rPr>
          <w:rFonts w:hint="eastAsia"/>
          <w:lang w:val="en-US" w:eastAsia="zh-CN"/>
        </w:rPr>
      </w:pPr>
      <w:r>
        <w:rPr>
          <w:rFonts w:hint="eastAsia"/>
          <w:lang w:val="en-US" w:eastAsia="zh-CN"/>
        </w:rPr>
        <w:t>项目营运期加强声环境管理，确保噪声达到《工业企业厂界环境噪声排放标准》（GB 12348-2008）3类标准。</w:t>
      </w:r>
    </w:p>
    <w:p>
      <w:pPr>
        <w:pStyle w:val="5"/>
        <w:spacing w:before="129" w:line="340" w:lineRule="auto"/>
        <w:ind w:left="297" w:right="247" w:firstLine="480"/>
        <w:rPr>
          <w:rFonts w:hint="eastAsia"/>
          <w:lang w:val="en-US" w:eastAsia="zh-CN"/>
        </w:rPr>
      </w:pPr>
      <w:r>
        <w:rPr>
          <w:rFonts w:hint="eastAsia"/>
          <w:lang w:val="en-US" w:eastAsia="zh-CN"/>
        </w:rPr>
        <w:t>（3）其他要求</w:t>
      </w:r>
    </w:p>
    <w:p>
      <w:pPr>
        <w:pStyle w:val="5"/>
        <w:spacing w:before="129" w:line="340" w:lineRule="auto"/>
        <w:ind w:left="297" w:right="247" w:firstLine="480"/>
        <w:rPr>
          <w:rFonts w:hint="default"/>
          <w:lang w:val="en-US" w:eastAsia="zh-CN"/>
        </w:rPr>
      </w:pPr>
      <w:r>
        <w:rPr>
          <w:rFonts w:hint="eastAsia"/>
          <w:lang w:val="en-US" w:eastAsia="zh-CN"/>
        </w:rPr>
        <w:t>项目需高度重视危险废物的环境影响，危险废物由专用容器收集，修建单独的危险废物暂存间，危险废物管理及暂存间的修建严格执行《危险废物贮存污染控制标准》（GB 18597-2011）及2013年修改单中的有关规定。</w:t>
      </w:r>
    </w:p>
    <w:p>
      <w:pPr>
        <w:pStyle w:val="5"/>
        <w:spacing w:before="129" w:line="340" w:lineRule="auto"/>
        <w:ind w:left="297" w:right="247" w:firstLine="480"/>
        <w:rPr>
          <w:rFonts w:hint="eastAsia"/>
          <w:lang w:val="en-US" w:eastAsia="zh-CN"/>
        </w:rPr>
        <w:sectPr>
          <w:footerReference r:id="rId9" w:type="default"/>
          <w:pgSz w:w="11910" w:h="16840"/>
          <w:pgMar w:top="1400" w:right="1040" w:bottom="1180" w:left="1160" w:header="0" w:footer="995" w:gutter="0"/>
          <w:pgBorders>
            <w:top w:val="none" w:sz="0" w:space="0"/>
            <w:left w:val="none" w:sz="0" w:space="0"/>
            <w:bottom w:val="none" w:sz="0" w:space="0"/>
            <w:right w:val="none" w:sz="0" w:space="0"/>
          </w:pgBorders>
          <w:pgNumType w:start="12"/>
          <w:cols w:space="720" w:num="1"/>
        </w:sectPr>
      </w:pPr>
    </w:p>
    <w:tbl>
      <w:tblPr>
        <w:tblStyle w:val="10"/>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
        <w:gridCol w:w="985"/>
        <w:gridCol w:w="1172"/>
        <w:gridCol w:w="4804"/>
        <w:gridCol w:w="5972"/>
        <w:gridCol w:w="1010"/>
        <w:gridCol w:w="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14172" w:type="dxa"/>
            <w:gridSpan w:val="7"/>
          </w:tcPr>
          <w:p>
            <w:pPr>
              <w:pStyle w:val="15"/>
              <w:ind w:left="107"/>
              <w:rPr>
                <w:b/>
                <w:sz w:val="24"/>
              </w:rPr>
            </w:pPr>
            <w:r>
              <w:rPr>
                <w:rFonts w:hint="eastAsia"/>
                <w:b/>
                <w:sz w:val="24"/>
                <w:lang w:val="en-US" w:eastAsia="zh-CN"/>
              </w:rPr>
              <w:t>二</w:t>
            </w:r>
            <w:r>
              <w:rPr>
                <w:b/>
                <w:sz w:val="24"/>
              </w:rPr>
              <w:t>、环评及环评批复执行情况</w:t>
            </w:r>
          </w:p>
          <w:p>
            <w:pPr>
              <w:pStyle w:val="15"/>
              <w:spacing w:before="159"/>
              <w:ind w:left="587"/>
              <w:rPr>
                <w:sz w:val="24"/>
              </w:rPr>
            </w:pPr>
            <w:r>
              <w:rPr>
                <w:sz w:val="24"/>
              </w:rPr>
              <w:t xml:space="preserve">本项目环评及环评批复执行情况见表 </w:t>
            </w:r>
            <w:r>
              <w:rPr>
                <w:rFonts w:ascii="Times New Roman" w:eastAsia="Times New Roman"/>
                <w:sz w:val="24"/>
              </w:rPr>
              <w:t xml:space="preserve">4-1 </w:t>
            </w:r>
            <w:r>
              <w:rPr>
                <w:sz w:val="24"/>
              </w:rPr>
              <w:t>。</w:t>
            </w:r>
          </w:p>
          <w:p>
            <w:pPr>
              <w:pStyle w:val="15"/>
              <w:tabs>
                <w:tab w:val="left" w:pos="879"/>
              </w:tabs>
              <w:spacing w:before="158" w:line="253" w:lineRule="exact"/>
              <w:ind w:left="21"/>
              <w:jc w:val="center"/>
              <w:rPr>
                <w:b/>
                <w:sz w:val="21"/>
              </w:rPr>
            </w:pPr>
            <w:r>
              <w:rPr>
                <w:b w:val="0"/>
                <w:bCs/>
                <w:sz w:val="28"/>
                <w:szCs w:val="28"/>
              </w:rPr>
              <w:t>表</w:t>
            </w:r>
            <w:r>
              <w:rPr>
                <w:b w:val="0"/>
                <w:bCs/>
                <w:spacing w:val="-55"/>
                <w:sz w:val="28"/>
                <w:szCs w:val="28"/>
              </w:rPr>
              <w:t xml:space="preserve"> </w:t>
            </w:r>
            <w:r>
              <w:rPr>
                <w:rFonts w:ascii="Times New Roman" w:eastAsia="Times New Roman"/>
                <w:b w:val="0"/>
                <w:bCs/>
                <w:sz w:val="28"/>
                <w:szCs w:val="28"/>
              </w:rPr>
              <w:t>4-1</w:t>
            </w:r>
            <w:r>
              <w:rPr>
                <w:rFonts w:ascii="Times New Roman" w:eastAsia="Times New Roman"/>
                <w:b w:val="0"/>
                <w:bCs/>
                <w:sz w:val="28"/>
                <w:szCs w:val="28"/>
              </w:rPr>
              <w:tab/>
            </w:r>
            <w:r>
              <w:rPr>
                <w:b w:val="0"/>
                <w:bCs/>
                <w:sz w:val="28"/>
                <w:szCs w:val="28"/>
              </w:rPr>
              <w:t>环评文件中环境保护措施落实情况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14" w:type="dxa"/>
            <w:tcBorders>
              <w:top w:val="nil"/>
              <w:bottom w:val="nil"/>
            </w:tcBorders>
          </w:tcPr>
          <w:p>
            <w:pPr>
              <w:pStyle w:val="15"/>
              <w:rPr>
                <w:rFonts w:hint="default" w:ascii="Times New Roman" w:hAnsi="Times New Roman" w:eastAsia="宋体" w:cs="Times New Roman"/>
                <w:sz w:val="21"/>
                <w:szCs w:val="21"/>
              </w:rPr>
            </w:pPr>
          </w:p>
        </w:tc>
        <w:tc>
          <w:tcPr>
            <w:tcW w:w="985" w:type="dxa"/>
            <w:tcBorders>
              <w:bottom w:val="single" w:color="000000" w:sz="6" w:space="0"/>
              <w:right w:val="single" w:color="000000" w:sz="6" w:space="0"/>
            </w:tcBorders>
            <w:vAlign w:val="center"/>
          </w:tcPr>
          <w:p>
            <w:pPr>
              <w:jc w:val="center"/>
              <w:rPr>
                <w:rFonts w:hint="default"/>
                <w:sz w:val="21"/>
                <w:szCs w:val="21"/>
              </w:rPr>
            </w:pPr>
            <w:r>
              <w:rPr>
                <w:rFonts w:hint="default"/>
                <w:sz w:val="21"/>
                <w:szCs w:val="21"/>
              </w:rPr>
              <w:t>序号</w:t>
            </w:r>
          </w:p>
        </w:tc>
        <w:tc>
          <w:tcPr>
            <w:tcW w:w="1172" w:type="dxa"/>
            <w:tcBorders>
              <w:left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项目</w:t>
            </w:r>
          </w:p>
        </w:tc>
        <w:tc>
          <w:tcPr>
            <w:tcW w:w="4804" w:type="dxa"/>
            <w:tcBorders>
              <w:left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环评提出措施</w:t>
            </w:r>
          </w:p>
        </w:tc>
        <w:tc>
          <w:tcPr>
            <w:tcW w:w="5972" w:type="dxa"/>
            <w:tcBorders>
              <w:left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实际采取措施及处理效果</w:t>
            </w:r>
          </w:p>
        </w:tc>
        <w:tc>
          <w:tcPr>
            <w:tcW w:w="1010" w:type="dxa"/>
            <w:tcBorders>
              <w:left w:val="single" w:color="000000" w:sz="6" w:space="0"/>
              <w:bottom w:val="single" w:color="000000" w:sz="6" w:space="0"/>
            </w:tcBorders>
            <w:vAlign w:val="center"/>
          </w:tcPr>
          <w:p>
            <w:pPr>
              <w:jc w:val="center"/>
              <w:rPr>
                <w:rFonts w:hint="default"/>
                <w:sz w:val="21"/>
                <w:szCs w:val="21"/>
              </w:rPr>
            </w:pPr>
            <w:r>
              <w:rPr>
                <w:rFonts w:hint="default"/>
                <w:sz w:val="21"/>
                <w:szCs w:val="21"/>
              </w:rPr>
              <w:t>落实情</w:t>
            </w:r>
          </w:p>
          <w:p>
            <w:pPr>
              <w:jc w:val="center"/>
              <w:rPr>
                <w:rFonts w:hint="default"/>
                <w:sz w:val="21"/>
                <w:szCs w:val="21"/>
              </w:rPr>
            </w:pPr>
            <w:r>
              <w:rPr>
                <w:rFonts w:hint="default"/>
                <w:sz w:val="21"/>
                <w:szCs w:val="21"/>
              </w:rPr>
              <w:t>况</w:t>
            </w:r>
          </w:p>
        </w:tc>
        <w:tc>
          <w:tcPr>
            <w:tcW w:w="115" w:type="dxa"/>
            <w:tcBorders>
              <w:top w:val="nil"/>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0" w:hRule="atLeast"/>
        </w:trPr>
        <w:tc>
          <w:tcPr>
            <w:tcW w:w="114" w:type="dxa"/>
            <w:tcBorders>
              <w:top w:val="nil"/>
              <w:bottom w:val="nil"/>
            </w:tcBorders>
          </w:tcPr>
          <w:p>
            <w:pPr>
              <w:pStyle w:val="15"/>
              <w:rPr>
                <w:rFonts w:hint="default" w:ascii="Times New Roman" w:hAnsi="Times New Roman" w:eastAsia="宋体" w:cs="Times New Roman"/>
                <w:sz w:val="21"/>
                <w:szCs w:val="21"/>
              </w:rPr>
            </w:pPr>
          </w:p>
        </w:tc>
        <w:tc>
          <w:tcPr>
            <w:tcW w:w="985" w:type="dxa"/>
            <w:tcBorders>
              <w:top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1</w:t>
            </w:r>
          </w:p>
        </w:tc>
        <w:tc>
          <w:tcPr>
            <w:tcW w:w="1172" w:type="dxa"/>
            <w:tcBorders>
              <w:top w:val="single" w:color="000000" w:sz="6" w:space="0"/>
              <w:left w:val="single" w:color="000000" w:sz="6" w:space="0"/>
              <w:right w:val="single" w:color="000000" w:sz="6" w:space="0"/>
            </w:tcBorders>
            <w:vAlign w:val="center"/>
          </w:tcPr>
          <w:p>
            <w:pPr>
              <w:jc w:val="center"/>
              <w:rPr>
                <w:rFonts w:hint="default"/>
                <w:sz w:val="21"/>
                <w:szCs w:val="21"/>
              </w:rPr>
            </w:pPr>
            <w:r>
              <w:rPr>
                <w:rFonts w:hint="default"/>
                <w:sz w:val="21"/>
                <w:szCs w:val="21"/>
              </w:rPr>
              <w:t>废气</w:t>
            </w:r>
            <w:r>
              <w:rPr>
                <w:rFonts w:hint="eastAsia"/>
                <w:sz w:val="21"/>
                <w:szCs w:val="21"/>
                <w:lang w:val="en-US" w:eastAsia="zh-CN"/>
              </w:rPr>
              <w:t>防</w:t>
            </w:r>
            <w:r>
              <w:rPr>
                <w:rFonts w:hint="default"/>
                <w:sz w:val="21"/>
                <w:szCs w:val="21"/>
              </w:rPr>
              <w:t>治措施</w:t>
            </w:r>
          </w:p>
        </w:tc>
        <w:tc>
          <w:tcPr>
            <w:tcW w:w="4804" w:type="dxa"/>
            <w:tcBorders>
              <w:top w:val="single" w:color="000000" w:sz="6" w:space="0"/>
              <w:left w:val="single" w:color="000000" w:sz="6" w:space="0"/>
              <w:bottom w:val="single" w:color="000000" w:sz="6" w:space="0"/>
              <w:right w:val="single" w:color="000000" w:sz="6" w:space="0"/>
            </w:tcBorders>
            <w:vAlign w:val="center"/>
          </w:tcPr>
          <w:p>
            <w:pPr>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lang w:val="en-US" w:eastAsia="zh-CN"/>
              </w:rPr>
              <w:t>废气</w:t>
            </w:r>
            <w:r>
              <w:rPr>
                <w:rFonts w:hint="default" w:ascii="Times New Roman" w:hAnsi="Times New Roman" w:cs="Times New Roman"/>
                <w:sz w:val="21"/>
                <w:szCs w:val="21"/>
              </w:rPr>
              <w:t>通过集气罩集中收集，再经管道集中送至活性炭吸附装置进行统一净化处理，经净化处理达标后尾气通过 15m排气筒高空排放</w:t>
            </w:r>
          </w:p>
        </w:tc>
        <w:tc>
          <w:tcPr>
            <w:tcW w:w="5972" w:type="dxa"/>
            <w:tcBorders>
              <w:top w:val="single" w:color="000000" w:sz="6" w:space="0"/>
              <w:left w:val="single" w:color="000000" w:sz="6" w:space="0"/>
              <w:bottom w:val="single" w:color="000000" w:sz="6" w:space="0"/>
              <w:right w:val="single" w:color="000000" w:sz="6" w:space="0"/>
            </w:tcBorders>
            <w:vAlign w:val="center"/>
          </w:tcPr>
          <w:p>
            <w:pPr>
              <w:ind w:firstLine="420" w:firstLineChars="200"/>
              <w:jc w:val="both"/>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项目废气采用活性炭吸附装置处理，净化达标后通过15m（高于房顶2m）高空排放</w:t>
            </w:r>
            <w:r>
              <w:rPr>
                <w:rFonts w:hint="eastAsia" w:ascii="Times New Roman" w:hAnsi="Times New Roman" w:cs="Times New Roman"/>
                <w:sz w:val="21"/>
                <w:szCs w:val="21"/>
                <w:lang w:val="en-US" w:eastAsia="zh-CN"/>
              </w:rPr>
              <w:t>。</w:t>
            </w:r>
          </w:p>
          <w:p>
            <w:pPr>
              <w:ind w:firstLine="420" w:firstLineChars="200"/>
              <w:jc w:val="both"/>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经检测结果分析得知：有组织和无组织废气中非甲烷总烃排放浓度满足</w:t>
            </w:r>
            <w:r>
              <w:rPr>
                <w:rFonts w:hint="eastAsia" w:ascii="Times New Roman" w:hAnsi="Times New Roman" w:cs="Times New Roman"/>
                <w:b w:val="0"/>
                <w:bCs w:val="0"/>
                <w:sz w:val="21"/>
                <w:szCs w:val="21"/>
                <w:lang w:val="en-US" w:eastAsia="zh-CN"/>
              </w:rPr>
              <w:t>《大气污染物综合排放标准》（GB 16297-1996）二级标准限制。即有组织废气中非甲烷总烃≤120m</w:t>
            </w:r>
            <w:r>
              <w:rPr>
                <w:rFonts w:hint="default" w:ascii="Times New Roman" w:hAnsi="Times New Roman" w:cs="Times New Roman"/>
                <w:b w:val="0"/>
                <w:bCs w:val="0"/>
                <w:sz w:val="21"/>
                <w:szCs w:val="21"/>
                <w:lang w:val="en-US" w:eastAsia="zh-CN"/>
              </w:rPr>
              <w:t>g/m</w:t>
            </w:r>
            <w:r>
              <w:rPr>
                <w:rFonts w:hint="default" w:ascii="Times New Roman" w:hAnsi="Times New Roman" w:cs="Times New Roman"/>
                <w:sz w:val="21"/>
                <w:szCs w:val="21"/>
                <w:vertAlign w:val="superscript"/>
              </w:rPr>
              <w:t>3</w:t>
            </w:r>
            <w:r>
              <w:rPr>
                <w:rFonts w:hint="eastAsia" w:ascii="Times New Roman" w:hAnsi="Times New Roman" w:cs="Times New Roman"/>
                <w:b w:val="0"/>
                <w:bCs w:val="0"/>
                <w:sz w:val="21"/>
                <w:szCs w:val="21"/>
                <w:vertAlign w:val="baseline"/>
                <w:lang w:val="en-US" w:eastAsia="zh-CN"/>
              </w:rPr>
              <w:t>，无组织废气中</w:t>
            </w:r>
            <w:r>
              <w:rPr>
                <w:rFonts w:hint="eastAsia" w:ascii="Times New Roman" w:hAnsi="Times New Roman" w:cs="Times New Roman"/>
                <w:b w:val="0"/>
                <w:bCs w:val="0"/>
                <w:sz w:val="21"/>
                <w:szCs w:val="21"/>
                <w:lang w:val="en-US" w:eastAsia="zh-CN"/>
              </w:rPr>
              <w:t>非甲烷总烃≤4.0mg</w:t>
            </w:r>
            <w:r>
              <w:rPr>
                <w:rFonts w:hint="default" w:ascii="Times New Roman" w:hAnsi="Times New Roman" w:cs="Times New Roman"/>
                <w:b w:val="0"/>
                <w:bCs w:val="0"/>
                <w:sz w:val="21"/>
                <w:szCs w:val="21"/>
                <w:lang w:val="en-US" w:eastAsia="zh-CN"/>
              </w:rPr>
              <w:t>/m</w:t>
            </w:r>
            <w:r>
              <w:rPr>
                <w:rFonts w:hint="default" w:ascii="Times New Roman" w:hAnsi="Times New Roman" w:cs="Times New Roman"/>
                <w:sz w:val="21"/>
                <w:szCs w:val="21"/>
                <w:vertAlign w:val="superscript"/>
              </w:rPr>
              <w:t>3</w:t>
            </w:r>
            <w:r>
              <w:rPr>
                <w:rFonts w:hint="eastAsia" w:ascii="Times New Roman" w:hAnsi="Times New Roman" w:cs="Times New Roman"/>
                <w:b w:val="0"/>
                <w:bCs w:val="0"/>
                <w:sz w:val="21"/>
                <w:szCs w:val="21"/>
                <w:vertAlign w:val="baseline"/>
                <w:lang w:val="en-US" w:eastAsia="zh-CN"/>
              </w:rPr>
              <w:t>。</w:t>
            </w:r>
          </w:p>
        </w:tc>
        <w:tc>
          <w:tcPr>
            <w:tcW w:w="1010" w:type="dxa"/>
            <w:tcBorders>
              <w:top w:val="single" w:color="000000" w:sz="6" w:space="0"/>
              <w:left w:val="single" w:color="000000" w:sz="6" w:space="0"/>
              <w:bottom w:val="single" w:color="000000" w:sz="6" w:space="0"/>
            </w:tcBorders>
            <w:vAlign w:val="center"/>
          </w:tcPr>
          <w:p>
            <w:pPr>
              <w:jc w:val="center"/>
              <w:rPr>
                <w:rFonts w:hint="default"/>
                <w:sz w:val="21"/>
                <w:szCs w:val="21"/>
              </w:rPr>
            </w:pPr>
            <w:r>
              <w:rPr>
                <w:rFonts w:hint="default"/>
                <w:sz w:val="21"/>
                <w:szCs w:val="21"/>
              </w:rPr>
              <w:t>满足</w:t>
            </w:r>
          </w:p>
        </w:tc>
        <w:tc>
          <w:tcPr>
            <w:tcW w:w="115" w:type="dxa"/>
            <w:tcBorders>
              <w:top w:val="nil"/>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114" w:type="dxa"/>
            <w:tcBorders>
              <w:top w:val="nil"/>
              <w:bottom w:val="nil"/>
            </w:tcBorders>
          </w:tcPr>
          <w:p>
            <w:pPr>
              <w:pStyle w:val="15"/>
              <w:rPr>
                <w:rFonts w:hint="default" w:ascii="Times New Roman" w:hAnsi="Times New Roman" w:eastAsia="宋体" w:cs="Times New Roman"/>
                <w:sz w:val="21"/>
                <w:szCs w:val="21"/>
              </w:rPr>
            </w:pPr>
          </w:p>
        </w:tc>
        <w:tc>
          <w:tcPr>
            <w:tcW w:w="985" w:type="dxa"/>
            <w:tcBorders>
              <w:top w:val="single" w:color="000000" w:sz="6" w:space="0"/>
              <w:bottom w:val="single" w:color="000000" w:sz="6" w:space="0"/>
              <w:righ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2</w:t>
            </w:r>
          </w:p>
        </w:tc>
        <w:tc>
          <w:tcPr>
            <w:tcW w:w="1172" w:type="dxa"/>
            <w:tcBorders>
              <w:lef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废水防治措施</w:t>
            </w:r>
          </w:p>
        </w:tc>
        <w:tc>
          <w:tcPr>
            <w:tcW w:w="4804" w:type="dxa"/>
            <w:tcBorders>
              <w:top w:val="single" w:color="000000" w:sz="6" w:space="0"/>
              <w:bottom w:val="single" w:color="000000" w:sz="6" w:space="0"/>
              <w:right w:val="single" w:color="000000" w:sz="6" w:space="0"/>
            </w:tcBorders>
            <w:vAlign w:val="center"/>
          </w:tcPr>
          <w:p>
            <w:pPr>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rPr>
              <w:t>生活污水进入贵州宝信捷投资有限公司已建的 60m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的污水处理站，处理后的污水经龙洞堡排污隧道至南明河下游排放</w:t>
            </w:r>
          </w:p>
        </w:tc>
        <w:tc>
          <w:tcPr>
            <w:tcW w:w="5972" w:type="dxa"/>
            <w:tcBorders>
              <w:top w:val="single" w:color="000000" w:sz="6" w:space="0"/>
              <w:left w:val="single" w:color="000000" w:sz="6" w:space="0"/>
              <w:bottom w:val="single" w:color="000000" w:sz="6" w:space="0"/>
              <w:right w:val="single" w:color="000000" w:sz="6" w:space="0"/>
            </w:tcBorders>
            <w:vAlign w:val="center"/>
          </w:tcPr>
          <w:p>
            <w:pPr>
              <w:ind w:firstLine="420" w:firstLineChars="200"/>
              <w:jc w:val="both"/>
              <w:rPr>
                <w:rFonts w:hint="eastAsia" w:ascii="Times New Roman" w:hAnsi="Times New Roman" w:cs="Times New Roman"/>
                <w:sz w:val="21"/>
                <w:szCs w:val="21"/>
                <w:lang w:eastAsia="zh-CN"/>
              </w:rPr>
            </w:pPr>
            <w:r>
              <w:rPr>
                <w:rFonts w:hint="default" w:ascii="Times New Roman" w:hAnsi="Times New Roman" w:cs="Times New Roman"/>
                <w:sz w:val="21"/>
                <w:szCs w:val="21"/>
              </w:rPr>
              <w:t>生活污水进入贵州宝信捷投资有限公司已建的 60m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的污水处理站，处理后的污水经龙洞堡排污隧道至南明河下游排放</w:t>
            </w:r>
            <w:r>
              <w:rPr>
                <w:rFonts w:hint="eastAsia" w:ascii="Times New Roman" w:hAnsi="Times New Roman" w:cs="Times New Roman"/>
                <w:sz w:val="21"/>
                <w:szCs w:val="21"/>
                <w:lang w:eastAsia="zh-CN"/>
              </w:rPr>
              <w:t>。</w:t>
            </w:r>
          </w:p>
          <w:p>
            <w:pPr>
              <w:ind w:firstLine="420" w:firstLineChars="200"/>
              <w:jc w:val="both"/>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经检测结果分析得知：污水检测结果满足</w:t>
            </w:r>
            <w:r>
              <w:rPr>
                <w:rFonts w:hint="eastAsia" w:ascii="Times New Roman" w:hAnsi="Times New Roman" w:cs="Times New Roman"/>
                <w:b w:val="0"/>
                <w:bCs w:val="0"/>
                <w:sz w:val="21"/>
                <w:szCs w:val="21"/>
                <w:lang w:val="en-US" w:eastAsia="zh-CN"/>
              </w:rPr>
              <w:t>《污水综合排放标准》（GB 8978-1996）三级排放限值，其中TP、NH</w:t>
            </w:r>
            <w:r>
              <w:rPr>
                <w:rFonts w:hint="default" w:ascii="Times New Roman" w:hAnsi="Times New Roman" w:cs="Times New Roman"/>
                <w:sz w:val="21"/>
                <w:szCs w:val="21"/>
                <w:vertAlign w:val="subscript"/>
              </w:rPr>
              <w:t>3</w:t>
            </w:r>
            <w:r>
              <w:rPr>
                <w:rFonts w:hint="eastAsia" w:ascii="Times New Roman" w:hAnsi="Times New Roman" w:cs="Times New Roman"/>
                <w:b w:val="0"/>
                <w:bCs w:val="0"/>
                <w:sz w:val="21"/>
                <w:szCs w:val="21"/>
                <w:lang w:val="en-US" w:eastAsia="zh-CN"/>
              </w:rPr>
              <w:t>-N满足二级排放限制。即COD≤500mg/L、BOD</w:t>
            </w:r>
            <w:r>
              <w:rPr>
                <w:rFonts w:hint="eastAsia" w:ascii="Times New Roman" w:hAnsi="Times New Roman" w:cs="Times New Roman"/>
                <w:b w:val="0"/>
                <w:bCs w:val="0"/>
                <w:sz w:val="21"/>
                <w:szCs w:val="21"/>
                <w:vertAlign w:val="subscript"/>
                <w:lang w:val="en-US" w:eastAsia="zh-CN"/>
              </w:rPr>
              <w:t>5</w:t>
            </w:r>
            <w:r>
              <w:rPr>
                <w:rFonts w:hint="eastAsia" w:ascii="Times New Roman" w:hAnsi="Times New Roman" w:cs="Times New Roman"/>
                <w:b w:val="0"/>
                <w:bCs w:val="0"/>
                <w:sz w:val="21"/>
                <w:szCs w:val="21"/>
                <w:vertAlign w:val="baseline"/>
                <w:lang w:val="en-US" w:eastAsia="zh-CN"/>
              </w:rPr>
              <w:t>≤300</w:t>
            </w:r>
            <w:r>
              <w:rPr>
                <w:rFonts w:hint="eastAsia" w:ascii="Times New Roman" w:hAnsi="Times New Roman" w:cs="Times New Roman"/>
                <w:b w:val="0"/>
                <w:bCs w:val="0"/>
                <w:sz w:val="21"/>
                <w:szCs w:val="21"/>
                <w:lang w:val="en-US" w:eastAsia="zh-CN"/>
              </w:rPr>
              <w:t>mg/L、SS≤400mg/L、TP</w:t>
            </w:r>
            <w:r>
              <w:rPr>
                <w:rFonts w:hint="eastAsia" w:ascii="Times New Roman" w:hAnsi="Times New Roman" w:cs="Times New Roman"/>
                <w:b w:val="0"/>
                <w:bCs w:val="0"/>
                <w:sz w:val="21"/>
                <w:szCs w:val="21"/>
                <w:vertAlign w:val="baseline"/>
                <w:lang w:val="en-US" w:eastAsia="zh-CN"/>
              </w:rPr>
              <w:t>≤1.0</w:t>
            </w:r>
            <w:r>
              <w:rPr>
                <w:rFonts w:hint="eastAsia" w:ascii="Times New Roman" w:hAnsi="Times New Roman" w:cs="Times New Roman"/>
                <w:b w:val="0"/>
                <w:bCs w:val="0"/>
                <w:sz w:val="21"/>
                <w:szCs w:val="21"/>
                <w:lang w:val="en-US" w:eastAsia="zh-CN"/>
              </w:rPr>
              <w:t>mg/L、NH</w:t>
            </w:r>
            <w:r>
              <w:rPr>
                <w:rFonts w:hint="default" w:ascii="Times New Roman" w:hAnsi="Times New Roman" w:cs="Times New Roman"/>
                <w:sz w:val="21"/>
                <w:szCs w:val="21"/>
                <w:vertAlign w:val="subscript"/>
              </w:rPr>
              <w:t>3</w:t>
            </w:r>
            <w:r>
              <w:rPr>
                <w:rFonts w:hint="eastAsia" w:ascii="Times New Roman" w:hAnsi="Times New Roman" w:cs="Times New Roman"/>
                <w:b w:val="0"/>
                <w:bCs w:val="0"/>
                <w:sz w:val="21"/>
                <w:szCs w:val="21"/>
                <w:lang w:val="en-US" w:eastAsia="zh-CN"/>
              </w:rPr>
              <w:t>-N</w:t>
            </w:r>
            <w:r>
              <w:rPr>
                <w:rFonts w:hint="eastAsia" w:ascii="Times New Roman" w:hAnsi="Times New Roman" w:cs="Times New Roman"/>
                <w:b w:val="0"/>
                <w:bCs w:val="0"/>
                <w:sz w:val="21"/>
                <w:szCs w:val="21"/>
                <w:vertAlign w:val="baseline"/>
                <w:lang w:val="en-US" w:eastAsia="zh-CN"/>
              </w:rPr>
              <w:t>≤25</w:t>
            </w:r>
            <w:r>
              <w:rPr>
                <w:rFonts w:hint="eastAsia" w:ascii="Times New Roman" w:hAnsi="Times New Roman" w:cs="Times New Roman"/>
                <w:b w:val="0"/>
                <w:bCs w:val="0"/>
                <w:sz w:val="21"/>
                <w:szCs w:val="21"/>
                <w:lang w:val="en-US" w:eastAsia="zh-CN"/>
              </w:rPr>
              <w:t>mg/L。</w:t>
            </w:r>
          </w:p>
        </w:tc>
        <w:tc>
          <w:tcPr>
            <w:tcW w:w="1010" w:type="dxa"/>
            <w:tcBorders>
              <w:top w:val="single" w:color="000000" w:sz="6" w:space="0"/>
              <w:left w:val="single" w:color="000000" w:sz="6" w:space="0"/>
              <w:bottom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满足</w:t>
            </w:r>
          </w:p>
        </w:tc>
        <w:tc>
          <w:tcPr>
            <w:tcW w:w="115" w:type="dxa"/>
            <w:tcBorders>
              <w:top w:val="nil"/>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5" w:hRule="atLeast"/>
        </w:trPr>
        <w:tc>
          <w:tcPr>
            <w:tcW w:w="114" w:type="dxa"/>
            <w:tcBorders>
              <w:top w:val="nil"/>
            </w:tcBorders>
          </w:tcPr>
          <w:p>
            <w:pPr>
              <w:pStyle w:val="15"/>
              <w:rPr>
                <w:rFonts w:hint="default" w:ascii="Times New Roman" w:hAnsi="Times New Roman" w:eastAsia="宋体" w:cs="Times New Roman"/>
                <w:sz w:val="21"/>
                <w:szCs w:val="21"/>
              </w:rPr>
            </w:pPr>
          </w:p>
        </w:tc>
        <w:tc>
          <w:tcPr>
            <w:tcW w:w="985" w:type="dxa"/>
            <w:tcBorders>
              <w:top w:val="single" w:color="000000" w:sz="6" w:space="0"/>
              <w:bottom w:val="single" w:color="000000" w:sz="8" w:space="0"/>
              <w:righ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3</w:t>
            </w:r>
          </w:p>
        </w:tc>
        <w:tc>
          <w:tcPr>
            <w:tcW w:w="1172" w:type="dxa"/>
            <w:tcBorders>
              <w:left w:val="single" w:color="000000" w:sz="6" w:space="0"/>
              <w:bottom w:val="single" w:color="000000" w:sz="8" w:space="0"/>
              <w:righ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固体废物治理措施</w:t>
            </w:r>
          </w:p>
        </w:tc>
        <w:tc>
          <w:tcPr>
            <w:tcW w:w="4804" w:type="dxa"/>
            <w:tcBorders>
              <w:top w:val="single" w:color="000000" w:sz="6" w:space="0"/>
              <w:left w:val="single" w:color="000000" w:sz="6" w:space="0"/>
              <w:bottom w:val="single" w:color="000000" w:sz="8" w:space="0"/>
              <w:right w:val="single" w:color="000000" w:sz="6" w:space="0"/>
            </w:tcBorders>
            <w:vAlign w:val="center"/>
          </w:tcPr>
          <w:p>
            <w:pPr>
              <w:jc w:val="both"/>
              <w:rPr>
                <w:rFonts w:hint="default" w:ascii="Times New Roman" w:hAnsi="Times New Roman" w:cs="Times New Roman"/>
                <w:sz w:val="21"/>
                <w:szCs w:val="21"/>
              </w:rPr>
            </w:pPr>
            <w:r>
              <w:rPr>
                <w:rFonts w:hint="default" w:ascii="Times New Roman" w:hAnsi="Times New Roman" w:cs="Times New Roman"/>
                <w:sz w:val="21"/>
                <w:szCs w:val="21"/>
              </w:rPr>
              <w:t>本工程实施后，车间总生产人员不增加，生活垃圾产生量将基本维持现状，生活垃圾集中收集， 交由当地环卫部门处置。本项目产生的脱硫石膏集中收集作为原料外售至水泥厂</w:t>
            </w:r>
          </w:p>
        </w:tc>
        <w:tc>
          <w:tcPr>
            <w:tcW w:w="5972" w:type="dxa"/>
            <w:tcBorders>
              <w:top w:val="single" w:color="000000" w:sz="6" w:space="0"/>
              <w:left w:val="single" w:color="000000" w:sz="6" w:space="0"/>
              <w:bottom w:val="single" w:color="000000" w:sz="8" w:space="0"/>
              <w:right w:val="single" w:color="000000" w:sz="6" w:space="0"/>
            </w:tcBorders>
            <w:vAlign w:val="center"/>
          </w:tcPr>
          <w:p>
            <w:pPr>
              <w:ind w:firstLine="420" w:firstLineChars="200"/>
              <w:jc w:val="both"/>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项目生活垃圾统一收集后交由环卫部门统一处理。项目产生的废包装材料、废边角料、不合格品属于一般固废，应统一收集，外售或者回用处理。项目产生的废包装桶、废含油抹布、废PS版、废树脂版、废菲林、废活性炭属于危险废物，交由有危险废物处置资质的单位处理。</w:t>
            </w:r>
          </w:p>
          <w:p>
            <w:pPr>
              <w:jc w:val="both"/>
              <w:rPr>
                <w:rFonts w:hint="default" w:ascii="Times New Roman" w:hAnsi="Times New Roman" w:cs="Times New Roman"/>
                <w:sz w:val="21"/>
                <w:szCs w:val="21"/>
              </w:rPr>
            </w:pPr>
          </w:p>
        </w:tc>
        <w:tc>
          <w:tcPr>
            <w:tcW w:w="1010" w:type="dxa"/>
            <w:tcBorders>
              <w:top w:val="single" w:color="000000" w:sz="6" w:space="0"/>
              <w:left w:val="single" w:color="000000" w:sz="6" w:space="0"/>
              <w:bottom w:val="single" w:color="000000" w:sz="8" w:space="0"/>
            </w:tcBorders>
            <w:vAlign w:val="center"/>
          </w:tcPr>
          <w:p>
            <w:pPr>
              <w:jc w:val="center"/>
              <w:rPr>
                <w:rFonts w:hint="default"/>
                <w:sz w:val="21"/>
                <w:szCs w:val="21"/>
              </w:rPr>
            </w:pPr>
          </w:p>
          <w:p>
            <w:pPr>
              <w:jc w:val="center"/>
              <w:rPr>
                <w:rFonts w:hint="default"/>
                <w:sz w:val="21"/>
                <w:szCs w:val="21"/>
              </w:rPr>
            </w:pPr>
          </w:p>
          <w:p>
            <w:pPr>
              <w:jc w:val="center"/>
              <w:rPr>
                <w:rFonts w:hint="default"/>
                <w:sz w:val="21"/>
                <w:szCs w:val="21"/>
              </w:rPr>
            </w:pPr>
          </w:p>
          <w:p>
            <w:pPr>
              <w:jc w:val="center"/>
              <w:rPr>
                <w:rFonts w:hint="default"/>
                <w:sz w:val="21"/>
                <w:szCs w:val="21"/>
              </w:rPr>
            </w:pPr>
            <w:r>
              <w:rPr>
                <w:rFonts w:hint="default"/>
                <w:sz w:val="21"/>
                <w:szCs w:val="21"/>
              </w:rPr>
              <w:t>满足</w:t>
            </w:r>
          </w:p>
        </w:tc>
        <w:tc>
          <w:tcPr>
            <w:tcW w:w="115" w:type="dxa"/>
            <w:tcBorders>
              <w:top w:val="nil"/>
            </w:tcBorders>
          </w:tcPr>
          <w:p>
            <w:pPr>
              <w:pStyle w:val="15"/>
              <w:rPr>
                <w:rFonts w:hint="default" w:ascii="Times New Roman" w:hAnsi="Times New Roman" w:eastAsia="宋体" w:cs="Times New Roman"/>
                <w:sz w:val="21"/>
                <w:szCs w:val="21"/>
              </w:rPr>
            </w:pPr>
          </w:p>
        </w:tc>
      </w:tr>
    </w:tbl>
    <w:p>
      <w:pPr>
        <w:spacing w:after="0"/>
        <w:rPr>
          <w:rFonts w:hint="default" w:ascii="Times New Roman" w:hAnsi="Times New Roman" w:eastAsia="宋体" w:cs="Times New Roman"/>
          <w:sz w:val="21"/>
          <w:szCs w:val="21"/>
        </w:rPr>
        <w:sectPr>
          <w:footerReference r:id="rId10" w:type="default"/>
          <w:pgSz w:w="16840" w:h="11910" w:orient="landscape"/>
          <w:pgMar w:top="1100" w:right="1220" w:bottom="1100" w:left="1220" w:header="0" w:footer="913" w:gutter="0"/>
          <w:pgBorders>
            <w:top w:val="none" w:sz="0" w:space="0"/>
            <w:left w:val="none" w:sz="0" w:space="0"/>
            <w:bottom w:val="none" w:sz="0" w:space="0"/>
            <w:right w:val="none" w:sz="0" w:space="0"/>
          </w:pgBorders>
          <w:pgNumType w:start="17"/>
          <w:cols w:space="720" w:num="1"/>
        </w:sectPr>
      </w:pPr>
    </w:p>
    <w:p>
      <w:pPr>
        <w:pStyle w:val="5"/>
        <w:rPr>
          <w:rFonts w:hint="default" w:ascii="Times New Roman" w:hAnsi="Times New Roman" w:eastAsia="宋体" w:cs="Times New Roman"/>
          <w:sz w:val="21"/>
          <w:szCs w:val="21"/>
        </w:rPr>
      </w:pPr>
    </w:p>
    <w:p>
      <w:pPr>
        <w:pStyle w:val="5"/>
        <w:rPr>
          <w:rFonts w:hint="default" w:ascii="Times New Roman" w:hAnsi="Times New Roman" w:eastAsia="宋体" w:cs="Times New Roman"/>
          <w:sz w:val="21"/>
          <w:szCs w:val="21"/>
        </w:rPr>
      </w:pPr>
    </w:p>
    <w:p>
      <w:pPr>
        <w:pStyle w:val="5"/>
        <w:spacing w:before="5"/>
        <w:rPr>
          <w:rFonts w:hint="default" w:ascii="Times New Roman" w:hAnsi="Times New Roman" w:eastAsia="宋体" w:cs="Times New Roman"/>
          <w:sz w:val="21"/>
          <w:szCs w:val="21"/>
        </w:rPr>
      </w:pPr>
    </w:p>
    <w:tbl>
      <w:tblPr>
        <w:tblStyle w:val="10"/>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
        <w:gridCol w:w="985"/>
        <w:gridCol w:w="1172"/>
        <w:gridCol w:w="4804"/>
        <w:gridCol w:w="5972"/>
        <w:gridCol w:w="1010"/>
        <w:gridCol w:w="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5" w:hRule="atLeast"/>
        </w:trPr>
        <w:tc>
          <w:tcPr>
            <w:tcW w:w="114" w:type="dxa"/>
            <w:tcBorders>
              <w:bottom w:val="nil"/>
            </w:tcBorders>
          </w:tcPr>
          <w:p>
            <w:pPr>
              <w:pStyle w:val="15"/>
              <w:rPr>
                <w:rFonts w:hint="default" w:ascii="Times New Roman" w:hAnsi="Times New Roman" w:eastAsia="宋体" w:cs="Times New Roman"/>
                <w:sz w:val="21"/>
                <w:szCs w:val="21"/>
              </w:rPr>
            </w:pPr>
          </w:p>
        </w:tc>
        <w:tc>
          <w:tcPr>
            <w:tcW w:w="985" w:type="dxa"/>
            <w:tcBorders>
              <w:top w:val="single" w:color="000000" w:sz="8" w:space="0"/>
              <w:bottom w:val="single" w:color="000000" w:sz="6" w:space="0"/>
              <w:right w:val="single" w:color="000000" w:sz="6" w:space="0"/>
            </w:tcBorders>
          </w:tcPr>
          <w:p>
            <w:pPr>
              <w:pStyle w:val="15"/>
              <w:rPr>
                <w:rFonts w:hint="default" w:ascii="Times New Roman" w:hAnsi="Times New Roman" w:eastAsia="宋体" w:cs="Times New Roman"/>
                <w:sz w:val="21"/>
                <w:szCs w:val="21"/>
              </w:rPr>
            </w:pPr>
          </w:p>
          <w:p>
            <w:pPr>
              <w:pStyle w:val="15"/>
              <w:rPr>
                <w:rFonts w:hint="default" w:ascii="Times New Roman" w:hAnsi="Times New Roman" w:eastAsia="宋体" w:cs="Times New Roman"/>
                <w:sz w:val="21"/>
                <w:szCs w:val="21"/>
              </w:rPr>
            </w:pPr>
          </w:p>
          <w:p>
            <w:pPr>
              <w:pStyle w:val="15"/>
              <w:spacing w:before="2"/>
              <w:rPr>
                <w:rFonts w:hint="default" w:ascii="Times New Roman" w:hAnsi="Times New Roman" w:eastAsia="宋体" w:cs="Times New Roman"/>
                <w:sz w:val="21"/>
                <w:szCs w:val="21"/>
              </w:rPr>
            </w:pPr>
          </w:p>
          <w:p>
            <w:pPr>
              <w:pStyle w:val="15"/>
              <w:spacing w:before="1"/>
              <w:ind w:left="10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172" w:type="dxa"/>
            <w:tcBorders>
              <w:top w:val="single" w:color="000000" w:sz="8" w:space="0"/>
              <w:left w:val="single" w:color="000000" w:sz="6" w:space="0"/>
              <w:right w:val="single" w:color="000000" w:sz="6" w:space="0"/>
            </w:tcBorders>
          </w:tcPr>
          <w:p>
            <w:pPr>
              <w:pStyle w:val="15"/>
              <w:rPr>
                <w:rFonts w:hint="default" w:ascii="Times New Roman" w:hAnsi="Times New Roman" w:eastAsia="宋体" w:cs="Times New Roman"/>
                <w:sz w:val="21"/>
                <w:szCs w:val="21"/>
              </w:rPr>
            </w:pPr>
          </w:p>
          <w:p>
            <w:pPr>
              <w:pStyle w:val="15"/>
              <w:spacing w:before="2"/>
              <w:rPr>
                <w:rFonts w:hint="default" w:ascii="Times New Roman" w:hAnsi="Times New Roman" w:eastAsia="宋体" w:cs="Times New Roman"/>
                <w:sz w:val="21"/>
                <w:szCs w:val="21"/>
              </w:rPr>
            </w:pPr>
          </w:p>
          <w:p>
            <w:pPr>
              <w:pStyle w:val="15"/>
              <w:spacing w:line="242" w:lineRule="auto"/>
              <w:ind w:left="373" w:right="151" w:hanging="21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噪声治理措施</w:t>
            </w:r>
          </w:p>
        </w:tc>
        <w:tc>
          <w:tcPr>
            <w:tcW w:w="4804" w:type="dxa"/>
            <w:tcBorders>
              <w:top w:val="single" w:color="000000" w:sz="8" w:space="0"/>
              <w:left w:val="single" w:color="000000" w:sz="6" w:space="0"/>
              <w:bottom w:val="single" w:color="000000" w:sz="6" w:space="0"/>
              <w:right w:val="single" w:color="000000" w:sz="6" w:space="0"/>
            </w:tcBorders>
            <w:vAlign w:val="center"/>
          </w:tcPr>
          <w:p>
            <w:pPr>
              <w:pStyle w:val="15"/>
              <w:spacing w:line="242" w:lineRule="auto"/>
              <w:ind w:right="151"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合理布局，车间、设备隔音降噪达到《工业企业厂界环境噪声排放标准》3 类标准要求免人为噪声的产生。</w:t>
            </w:r>
          </w:p>
        </w:tc>
        <w:tc>
          <w:tcPr>
            <w:tcW w:w="5972" w:type="dxa"/>
            <w:tcBorders>
              <w:top w:val="single" w:color="000000" w:sz="8" w:space="0"/>
              <w:left w:val="single" w:color="000000" w:sz="6" w:space="0"/>
              <w:bottom w:val="single" w:color="000000" w:sz="6" w:space="0"/>
              <w:right w:val="single" w:color="000000" w:sz="6" w:space="0"/>
            </w:tcBorders>
            <w:vAlign w:val="center"/>
          </w:tcPr>
          <w:p>
            <w:pPr>
              <w:pStyle w:val="15"/>
              <w:spacing w:before="1" w:line="242" w:lineRule="auto"/>
              <w:ind w:right="88"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项目运营期产生的噪声主要有各类生产设备产生的噪声。项目通过选用低噪设备、基础减震、构筑物隔声、隔声罩隔声和距离衰减等措施来降噪。</w:t>
            </w:r>
          </w:p>
          <w:p>
            <w:pPr>
              <w:pStyle w:val="15"/>
              <w:spacing w:before="4" w:line="242" w:lineRule="auto"/>
              <w:ind w:right="88"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经监测结果分析：项目厂界东、厂界西、厂界北噪声均满</w:t>
            </w:r>
            <w:r>
              <w:rPr>
                <w:rFonts w:hint="default" w:ascii="Times New Roman" w:hAnsi="Times New Roman" w:eastAsia="宋体" w:cs="Times New Roman"/>
                <w:spacing w:val="-3"/>
                <w:sz w:val="21"/>
                <w:szCs w:val="21"/>
              </w:rPr>
              <w:t>足《工业企业厂界环境噪声排放标准》</w:t>
            </w:r>
            <w:r>
              <w:rPr>
                <w:rFonts w:hint="default" w:ascii="Times New Roman" w:hAnsi="Times New Roman" w:eastAsia="宋体" w:cs="Times New Roman"/>
                <w:sz w:val="21"/>
                <w:szCs w:val="21"/>
              </w:rPr>
              <w:t>GB12348-2008</w:t>
            </w:r>
            <w:r>
              <w:rPr>
                <w:rFonts w:hint="default" w:ascii="Times New Roman" w:hAnsi="Times New Roman" w:eastAsia="宋体" w:cs="Times New Roman"/>
                <w:spacing w:val="-4"/>
                <w:sz w:val="21"/>
                <w:szCs w:val="21"/>
              </w:rPr>
              <w:t xml:space="preserve"> </w:t>
            </w:r>
            <w:r>
              <w:rPr>
                <w:rFonts w:hint="default" w:ascii="Times New Roman" w:hAnsi="Times New Roman" w:eastAsia="宋体" w:cs="Times New Roman"/>
                <w:spacing w:val="-18"/>
                <w:sz w:val="21"/>
                <w:szCs w:val="21"/>
              </w:rPr>
              <w:t xml:space="preserve">中的 </w:t>
            </w:r>
            <w:r>
              <w:rPr>
                <w:rFonts w:hint="eastAsia" w:ascii="Times New Roman" w:hAnsi="Times New Roman" w:cs="Times New Roman"/>
                <w:spacing w:val="-18"/>
                <w:sz w:val="21"/>
                <w:szCs w:val="21"/>
                <w:lang w:val="en-US" w:eastAsia="zh-CN"/>
              </w:rPr>
              <w:t>3</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z w:val="21"/>
                <w:szCs w:val="21"/>
              </w:rPr>
              <w:t>类标准要求。项目厂界噪声达标。</w:t>
            </w:r>
          </w:p>
        </w:tc>
        <w:tc>
          <w:tcPr>
            <w:tcW w:w="1010" w:type="dxa"/>
            <w:tcBorders>
              <w:top w:val="single" w:color="000000" w:sz="8" w:space="0"/>
              <w:left w:val="single" w:color="000000" w:sz="6" w:space="0"/>
              <w:bottom w:val="single" w:color="000000" w:sz="6" w:space="0"/>
            </w:tcBorders>
          </w:tcPr>
          <w:p>
            <w:pPr>
              <w:pStyle w:val="15"/>
              <w:rPr>
                <w:rFonts w:hint="default" w:ascii="Times New Roman" w:hAnsi="Times New Roman" w:eastAsia="宋体" w:cs="Times New Roman"/>
                <w:sz w:val="21"/>
                <w:szCs w:val="21"/>
              </w:rPr>
            </w:pPr>
          </w:p>
          <w:p>
            <w:pPr>
              <w:pStyle w:val="15"/>
              <w:rPr>
                <w:rFonts w:hint="default" w:ascii="Times New Roman" w:hAnsi="Times New Roman" w:eastAsia="宋体" w:cs="Times New Roman"/>
                <w:sz w:val="21"/>
                <w:szCs w:val="21"/>
              </w:rPr>
            </w:pPr>
          </w:p>
          <w:p>
            <w:pPr>
              <w:pStyle w:val="15"/>
              <w:rPr>
                <w:rFonts w:hint="default" w:ascii="Times New Roman" w:hAnsi="Times New Roman" w:eastAsia="宋体" w:cs="Times New Roman"/>
                <w:sz w:val="21"/>
                <w:szCs w:val="21"/>
              </w:rPr>
            </w:pPr>
          </w:p>
          <w:p>
            <w:pPr>
              <w:pStyle w:val="15"/>
              <w:rPr>
                <w:rFonts w:hint="default" w:ascii="Times New Roman" w:hAnsi="Times New Roman" w:eastAsia="宋体" w:cs="Times New Roman"/>
                <w:sz w:val="21"/>
                <w:szCs w:val="21"/>
              </w:rPr>
            </w:pPr>
          </w:p>
          <w:p>
            <w:pPr>
              <w:pStyle w:val="15"/>
              <w:spacing w:before="173"/>
              <w:ind w:left="10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w:t>
            </w:r>
          </w:p>
        </w:tc>
        <w:tc>
          <w:tcPr>
            <w:tcW w:w="115" w:type="dxa"/>
            <w:tcBorders>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9" w:hRule="atLeast"/>
        </w:trPr>
        <w:tc>
          <w:tcPr>
            <w:tcW w:w="114" w:type="dxa"/>
            <w:tcBorders>
              <w:top w:val="nil"/>
              <w:bottom w:val="nil"/>
            </w:tcBorders>
          </w:tcPr>
          <w:p>
            <w:pPr>
              <w:pStyle w:val="15"/>
              <w:rPr>
                <w:rFonts w:hint="default" w:ascii="Times New Roman" w:hAnsi="Times New Roman" w:eastAsia="宋体" w:cs="Times New Roman"/>
                <w:sz w:val="21"/>
                <w:szCs w:val="21"/>
              </w:rPr>
            </w:pPr>
          </w:p>
        </w:tc>
        <w:tc>
          <w:tcPr>
            <w:tcW w:w="985" w:type="dxa"/>
            <w:tcBorders>
              <w:top w:val="single" w:color="000000" w:sz="6" w:space="0"/>
              <w:right w:val="single" w:color="000000" w:sz="6" w:space="0"/>
            </w:tcBorders>
            <w:vAlign w:val="center"/>
          </w:tcPr>
          <w:p>
            <w:pPr>
              <w:pStyle w:val="15"/>
              <w:spacing w:before="6"/>
              <w:ind w:left="107"/>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172" w:type="dxa"/>
            <w:tcBorders>
              <w:left w:val="single" w:color="000000" w:sz="6" w:space="0"/>
              <w:right w:val="single" w:color="000000" w:sz="6" w:space="0"/>
            </w:tcBorders>
            <w:vAlign w:val="center"/>
          </w:tcPr>
          <w:p>
            <w:pP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环境风险</w:t>
            </w:r>
          </w:p>
          <w:p>
            <w:pP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措施</w:t>
            </w:r>
          </w:p>
        </w:tc>
        <w:tc>
          <w:tcPr>
            <w:tcW w:w="4804" w:type="dxa"/>
            <w:tcBorders>
              <w:top w:val="single" w:color="000000" w:sz="6" w:space="0"/>
              <w:left w:val="single" w:color="000000" w:sz="6" w:space="0"/>
              <w:right w:val="single" w:color="000000" w:sz="6" w:space="0"/>
            </w:tcBorders>
            <w:vAlign w:val="center"/>
          </w:tcPr>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①各环保设施通过制订操作规程、维护保养规程、检修制度等，完善台帐资料，确保其完好率和处理效率。</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②加强环保设施的运行管理和日常维护，做好日常的设施运行记录，采取措施，保障各项环保设施正常运行。</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③建立运行档案，及时发现除尘器的故障，如一旦确定除尘器故障，则应立即组织停产检修，减少事故排放对环境的影响。</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④企业加强对废气处理系统的维护、保养、保障系统正常运行。制定废气处理系统故障应急方案，加强污染防治设施管理人员和技术人员的培训和管理。</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⑤督促环保设备清扫、维修与生产设备检修同步进行。</w:t>
            </w:r>
          </w:p>
        </w:tc>
        <w:tc>
          <w:tcPr>
            <w:tcW w:w="5972" w:type="dxa"/>
            <w:tcBorders>
              <w:top w:val="single" w:color="000000" w:sz="6" w:space="0"/>
              <w:left w:val="single" w:color="000000" w:sz="6" w:space="0"/>
              <w:right w:val="single" w:color="000000" w:sz="6" w:space="0"/>
            </w:tcBorders>
            <w:vAlign w:val="center"/>
          </w:tcPr>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①项目有专职的工作人员对脱硫装置定期维护保养，定期检修，并做好相应记录。对于发现的问题，及时处理。项目运营期间采用自动监测 pH 及投药装置，确保脱硫剂的 pH 值，保证脱硫效率，保证正常工况需要。</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②企业会定期对职工进行环保、安全教育，提高职工风险意识，杜绝因为人为因素造成的脱硫装置事故。</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③项目设有专职环保人员对脱硫装置进行管理，一旦发生事故，企业会组织技术力量，查找事故原因并进行抢修，力争在最短的时间内使脱硫装置恢复正常运转。</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④项目采用自动化控制系统，使系统更加易于控制，定期对整个循环系统进行检查整改。检查整改期间应于脱硫装置联合进行，防止整改期间废水得不到妥善处理。</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⑤项目设有专职环保人员进行管理及保养各水泵，使之能长期有效地处于正常的运行之中；重要工段的泵件均设置备用，</w:t>
            </w:r>
          </w:p>
          <w:p>
            <w:pPr>
              <w:jc w:val="both"/>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以降低事故发生的机率。</w:t>
            </w:r>
          </w:p>
        </w:tc>
        <w:tc>
          <w:tcPr>
            <w:tcW w:w="1010" w:type="dxa"/>
            <w:tcBorders>
              <w:top w:val="single" w:color="000000" w:sz="6" w:space="0"/>
              <w:left w:val="single" w:color="000000" w:sz="6"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08"/>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w:t>
            </w:r>
          </w:p>
        </w:tc>
        <w:tc>
          <w:tcPr>
            <w:tcW w:w="115" w:type="dxa"/>
            <w:tcBorders>
              <w:top w:val="nil"/>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trPr>
        <w:tc>
          <w:tcPr>
            <w:tcW w:w="14172" w:type="dxa"/>
            <w:gridSpan w:val="7"/>
          </w:tcPr>
          <w:p>
            <w:pPr>
              <w:pStyle w:val="15"/>
              <w:rPr>
                <w:rFonts w:ascii="Times New Roman"/>
                <w:sz w:val="20"/>
              </w:rPr>
            </w:pPr>
          </w:p>
        </w:tc>
      </w:tr>
    </w:tbl>
    <w:p>
      <w:pPr>
        <w:pStyle w:val="5"/>
        <w:rPr>
          <w:rFonts w:ascii="Times New Roman"/>
          <w:sz w:val="20"/>
        </w:rPr>
      </w:pPr>
    </w:p>
    <w:p>
      <w:pPr>
        <w:pStyle w:val="5"/>
        <w:rPr>
          <w:rFonts w:ascii="Times New Roman"/>
          <w:sz w:val="20"/>
        </w:rPr>
      </w:pPr>
    </w:p>
    <w:p>
      <w:pPr>
        <w:pStyle w:val="5"/>
        <w:spacing w:before="2"/>
        <w:rPr>
          <w:rFonts w:ascii="Times New Roman"/>
          <w:sz w:val="21"/>
        </w:rPr>
      </w:pPr>
    </w:p>
    <w:p>
      <w:pPr>
        <w:spacing w:after="0"/>
        <w:jc w:val="center"/>
        <w:rPr>
          <w:sz w:val="21"/>
        </w:rPr>
        <w:sectPr>
          <w:pgSz w:w="16840" w:h="11910" w:orient="landscape"/>
          <w:pgMar w:top="1100" w:right="1220" w:bottom="1100" w:left="1220" w:header="0" w:footer="913" w:gutter="0"/>
          <w:pgBorders>
            <w:top w:val="none" w:sz="0" w:space="0"/>
            <w:left w:val="none" w:sz="0" w:space="0"/>
            <w:bottom w:val="none" w:sz="0" w:space="0"/>
            <w:right w:val="none" w:sz="0" w:space="0"/>
          </w:pgBorders>
          <w:cols w:space="720" w:num="1"/>
        </w:sectPr>
      </w:pPr>
    </w:p>
    <w:p>
      <w:pPr>
        <w:pStyle w:val="2"/>
        <w:tabs>
          <w:tab w:val="left" w:pos="1490"/>
        </w:tabs>
        <w:ind w:left="718"/>
      </w:pPr>
      <w:bookmarkStart w:id="7" w:name="_TOC_250003"/>
      <w:r>
        <w:t>表</w:t>
      </w:r>
      <w:r>
        <w:rPr>
          <w:spacing w:val="-71"/>
        </w:rPr>
        <w:t xml:space="preserve"> </w:t>
      </w:r>
      <w:r>
        <w:rPr>
          <w:rFonts w:ascii="Times New Roman" w:eastAsia="Times New Roman"/>
        </w:rPr>
        <w:t>5</w:t>
      </w:r>
      <w:r>
        <w:rPr>
          <w:rFonts w:ascii="Times New Roman" w:eastAsia="Times New Roman"/>
        </w:rPr>
        <w:tab/>
      </w:r>
      <w:bookmarkEnd w:id="7"/>
      <w:r>
        <w:t>验收监测质量保证及质量控制</w:t>
      </w:r>
    </w:p>
    <w:p>
      <w:pPr>
        <w:pStyle w:val="3"/>
        <w:spacing w:before="13"/>
        <w:ind w:left="234"/>
      </w:pPr>
      <w:r>
        <w:t>验收检测质量保证和质量控制</w:t>
      </w:r>
    </w:p>
    <w:p>
      <w:pPr>
        <w:pStyle w:val="5"/>
        <w:spacing w:before="158" w:line="364" w:lineRule="auto"/>
        <w:ind w:left="233" w:right="175" w:firstLine="480"/>
      </w:pPr>
      <w:r>
        <w:rPr>
          <w:rFonts w:hint="eastAsia"/>
          <w:lang w:val="en-US" w:eastAsia="zh-CN"/>
        </w:rPr>
        <w:t>贵阳天星智能包装有限公司</w:t>
      </w:r>
      <w:r>
        <w:t>不具备环境监测能力，因此委托有资质的单位</w:t>
      </w:r>
      <w:r>
        <w:rPr>
          <w:rFonts w:hint="eastAsia"/>
          <w:lang w:val="en-US" w:eastAsia="zh-CN"/>
        </w:rPr>
        <w:t>贵州黔之意检测技术有限公司</w:t>
      </w:r>
      <w:r>
        <w:t>进行本项目竣工环境保护验收环境检测。</w:t>
      </w:r>
    </w:p>
    <w:p>
      <w:pPr>
        <w:pStyle w:val="3"/>
        <w:spacing w:line="306" w:lineRule="exact"/>
        <w:ind w:left="713"/>
      </w:pPr>
      <w:r>
        <w:rPr>
          <w:w w:val="95"/>
        </w:rPr>
        <w:t>（一）检测分析方法与仪器</w:t>
      </w:r>
    </w:p>
    <w:p>
      <w:pPr>
        <w:pStyle w:val="14"/>
        <w:numPr>
          <w:ilvl w:val="1"/>
          <w:numId w:val="2"/>
        </w:numPr>
        <w:tabs>
          <w:tab w:val="left" w:pos="1315"/>
        </w:tabs>
        <w:spacing w:before="160" w:after="0" w:line="240" w:lineRule="auto"/>
        <w:ind w:left="1315" w:right="0" w:hanging="602"/>
        <w:jc w:val="left"/>
        <w:rPr>
          <w:sz w:val="24"/>
        </w:rPr>
      </w:pPr>
      <w:r>
        <w:rPr>
          <w:sz w:val="24"/>
        </w:rPr>
        <w:t>废气检测</w:t>
      </w:r>
    </w:p>
    <w:p>
      <w:pPr>
        <w:tabs>
          <w:tab w:val="left" w:pos="752"/>
        </w:tabs>
        <w:spacing w:before="159" w:after="5"/>
        <w:ind w:left="0" w:right="10" w:firstLine="0"/>
        <w:jc w:val="center"/>
        <w:rPr>
          <w:b/>
          <w:sz w:val="21"/>
        </w:rPr>
      </w:pPr>
      <w:r>
        <w:rPr>
          <w:b w:val="0"/>
          <w:bCs/>
          <w:sz w:val="21"/>
        </w:rPr>
        <w:t>表</w:t>
      </w:r>
      <w:r>
        <w:rPr>
          <w:b w:val="0"/>
          <w:bCs/>
          <w:spacing w:val="-55"/>
          <w:sz w:val="21"/>
        </w:rPr>
        <w:t xml:space="preserve"> </w:t>
      </w:r>
      <w:r>
        <w:rPr>
          <w:rFonts w:ascii="Times New Roman" w:eastAsia="Times New Roman"/>
          <w:b w:val="0"/>
          <w:bCs/>
          <w:sz w:val="21"/>
        </w:rPr>
        <w:t>5-1</w:t>
      </w:r>
      <w:r>
        <w:rPr>
          <w:rFonts w:ascii="Times New Roman" w:eastAsia="Times New Roman"/>
          <w:b w:val="0"/>
          <w:bCs/>
          <w:sz w:val="21"/>
        </w:rPr>
        <w:tab/>
      </w:r>
      <w:r>
        <w:rPr>
          <w:b w:val="0"/>
          <w:bCs/>
          <w:sz w:val="21"/>
        </w:rPr>
        <w:t>废气污染物检测项目分析方法与仪器</w:t>
      </w:r>
    </w:p>
    <w:tbl>
      <w:tblPr>
        <w:tblStyle w:val="10"/>
        <w:tblW w:w="0" w:type="auto"/>
        <w:tblInd w:w="31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1062"/>
        <w:gridCol w:w="3762"/>
        <w:gridCol w:w="3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14" w:type="dxa"/>
          </w:tcPr>
          <w:p>
            <w:pPr>
              <w:pStyle w:val="15"/>
              <w:spacing w:before="56" w:line="242" w:lineRule="auto"/>
              <w:ind w:left="195" w:right="181"/>
              <w:rPr>
                <w:sz w:val="21"/>
              </w:rPr>
            </w:pPr>
            <w:r>
              <w:rPr>
                <w:sz w:val="21"/>
              </w:rPr>
              <w:t>样品名称</w:t>
            </w:r>
          </w:p>
        </w:tc>
        <w:tc>
          <w:tcPr>
            <w:tcW w:w="1062" w:type="dxa"/>
          </w:tcPr>
          <w:p>
            <w:pPr>
              <w:pStyle w:val="15"/>
              <w:spacing w:before="56" w:line="242" w:lineRule="auto"/>
              <w:ind w:left="319" w:right="305"/>
              <w:rPr>
                <w:sz w:val="21"/>
              </w:rPr>
            </w:pPr>
            <w:r>
              <w:rPr>
                <w:sz w:val="21"/>
              </w:rPr>
              <w:t>检测项目</w:t>
            </w:r>
          </w:p>
        </w:tc>
        <w:tc>
          <w:tcPr>
            <w:tcW w:w="3762" w:type="dxa"/>
          </w:tcPr>
          <w:p>
            <w:pPr>
              <w:pStyle w:val="15"/>
              <w:rPr>
                <w:b/>
                <w:sz w:val="15"/>
              </w:rPr>
            </w:pPr>
          </w:p>
          <w:p>
            <w:pPr>
              <w:pStyle w:val="15"/>
              <w:ind w:left="1439" w:right="1427"/>
              <w:jc w:val="center"/>
              <w:rPr>
                <w:sz w:val="21"/>
              </w:rPr>
            </w:pPr>
            <w:r>
              <w:rPr>
                <w:sz w:val="21"/>
              </w:rPr>
              <w:t>检测依据</w:t>
            </w:r>
          </w:p>
        </w:tc>
        <w:tc>
          <w:tcPr>
            <w:tcW w:w="3494" w:type="dxa"/>
          </w:tcPr>
          <w:p>
            <w:pPr>
              <w:pStyle w:val="15"/>
              <w:rPr>
                <w:b/>
                <w:sz w:val="15"/>
              </w:rPr>
            </w:pPr>
          </w:p>
          <w:p>
            <w:pPr>
              <w:pStyle w:val="15"/>
              <w:ind w:left="770" w:right="759"/>
              <w:jc w:val="center"/>
              <w:rPr>
                <w:sz w:val="21"/>
              </w:rPr>
            </w:pPr>
            <w:r>
              <w:rPr>
                <w:sz w:val="21"/>
              </w:rPr>
              <w:t>检测设备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dxa"/>
            <w:vMerge w:val="restart"/>
            <w:vAlign w:val="center"/>
          </w:tcPr>
          <w:p>
            <w:pPr>
              <w:pStyle w:val="15"/>
              <w:spacing w:before="157"/>
              <w:jc w:val="center"/>
              <w:rPr>
                <w:sz w:val="21"/>
              </w:rPr>
            </w:pPr>
            <w:r>
              <w:rPr>
                <w:sz w:val="21"/>
              </w:rPr>
              <w:t>废气</w:t>
            </w:r>
          </w:p>
        </w:tc>
        <w:tc>
          <w:tcPr>
            <w:tcW w:w="1062" w:type="dxa"/>
            <w:vMerge w:val="restart"/>
            <w:vAlign w:val="center"/>
          </w:tcPr>
          <w:p>
            <w:pPr>
              <w:pStyle w:val="15"/>
              <w:spacing w:before="157"/>
              <w:jc w:val="center"/>
              <w:rPr>
                <w:rFonts w:hint="eastAsia" w:eastAsia="宋体"/>
                <w:sz w:val="21"/>
                <w:lang w:val="en-US" w:eastAsia="zh-CN"/>
              </w:rPr>
            </w:pPr>
            <w:r>
              <w:rPr>
                <w:rFonts w:hint="eastAsia"/>
                <w:sz w:val="21"/>
                <w:lang w:val="en-US" w:eastAsia="zh-CN"/>
              </w:rPr>
              <w:t>非甲烷总烃</w:t>
            </w:r>
          </w:p>
        </w:tc>
        <w:tc>
          <w:tcPr>
            <w:tcW w:w="3762" w:type="dxa"/>
            <w:vMerge w:val="restart"/>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tLeast"/>
              <w:jc w:val="center"/>
              <w:textAlignment w:val="auto"/>
              <w:rPr>
                <w:rFonts w:hint="eastAsia" w:ascii="Times New Roman" w:hAnsi="Times New Roman" w:cs="宋体"/>
                <w:color w:val="auto"/>
                <w:sz w:val="21"/>
                <w:szCs w:val="21"/>
                <w:highlight w:val="none"/>
                <w:lang w:val="en-US" w:eastAsia="zh-CN" w:bidi="ar-SA"/>
              </w:rPr>
            </w:pPr>
            <w:r>
              <w:rPr>
                <w:rFonts w:hint="eastAsia" w:ascii="Times New Roman" w:hAnsi="Times New Roman" w:cs="宋体"/>
                <w:color w:val="auto"/>
                <w:sz w:val="21"/>
                <w:szCs w:val="21"/>
                <w:highlight w:val="none"/>
                <w:lang w:val="en-US" w:eastAsia="zh-CN" w:bidi="ar-SA"/>
              </w:rPr>
              <w:t>固定污染源废气 总烃、甲烷和非甲烷总烃的测定 气相色谱法</w:t>
            </w:r>
          </w:p>
          <w:p>
            <w:pPr>
              <w:keepNext w:val="0"/>
              <w:keepLines w:val="0"/>
              <w:pageBreakBefore w:val="0"/>
              <w:widowControl/>
              <w:kinsoku/>
              <w:wordWrap/>
              <w:overflowPunct/>
              <w:topLinePunct w:val="0"/>
              <w:autoSpaceDE/>
              <w:autoSpaceDN/>
              <w:bidi w:val="0"/>
              <w:adjustRightInd/>
              <w:snapToGrid/>
              <w:spacing w:before="0" w:beforeAutospacing="0" w:after="0" w:line="240" w:lineRule="atLeast"/>
              <w:ind w:left="0" w:leftChars="0" w:right="0" w:rightChars="0"/>
              <w:jc w:val="center"/>
              <w:textAlignment w:val="auto"/>
              <w:rPr>
                <w:rFonts w:ascii="Times New Roman" w:eastAsia="Times New Roman"/>
                <w:sz w:val="21"/>
              </w:rPr>
            </w:pPr>
            <w:r>
              <w:rPr>
                <w:rFonts w:hint="eastAsia" w:ascii="Times New Roman" w:hAnsi="Times New Roman" w:cs="宋体"/>
                <w:color w:val="auto"/>
                <w:sz w:val="21"/>
                <w:szCs w:val="21"/>
                <w:highlight w:val="none"/>
                <w:lang w:val="en-US" w:eastAsia="zh-CN" w:bidi="ar-SA"/>
              </w:rPr>
              <w:t>HJ 38-2017</w:t>
            </w:r>
          </w:p>
        </w:tc>
        <w:tc>
          <w:tcPr>
            <w:tcW w:w="3494" w:type="dxa"/>
            <w:vAlign w:val="center"/>
          </w:tcPr>
          <w:p>
            <w:pPr>
              <w:pStyle w:val="15"/>
              <w:spacing w:before="4"/>
              <w:jc w:val="center"/>
              <w:rPr>
                <w:rFonts w:hint="default" w:eastAsia="宋体"/>
                <w:sz w:val="21"/>
                <w:lang w:val="en-US" w:eastAsia="zh-CN"/>
              </w:rPr>
            </w:pPr>
            <w:r>
              <w:rPr>
                <w:rFonts w:hint="eastAsia" w:ascii="Times New Roman" w:hAnsi="Times New Roman" w:cs="Times New Roman"/>
                <w:color w:val="auto"/>
                <w:sz w:val="21"/>
                <w:szCs w:val="21"/>
                <w:lang w:val="en-US" w:eastAsia="zh-CN"/>
              </w:rPr>
              <w:t>YQ3000-C全自动烟尘（气）测试仪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dxa"/>
            <w:vMerge w:val="continue"/>
            <w:vAlign w:val="center"/>
          </w:tcPr>
          <w:p>
            <w:pPr>
              <w:pStyle w:val="15"/>
              <w:spacing w:before="4"/>
              <w:jc w:val="center"/>
            </w:pPr>
          </w:p>
        </w:tc>
        <w:tc>
          <w:tcPr>
            <w:tcW w:w="1062" w:type="dxa"/>
            <w:vMerge w:val="continue"/>
            <w:vAlign w:val="center"/>
          </w:tcPr>
          <w:p>
            <w:pPr>
              <w:pStyle w:val="15"/>
              <w:spacing w:before="4"/>
              <w:jc w:val="center"/>
            </w:pPr>
          </w:p>
        </w:tc>
        <w:tc>
          <w:tcPr>
            <w:tcW w:w="3762" w:type="dxa"/>
            <w:vMerge w:val="continue"/>
            <w:vAlign w:val="center"/>
          </w:tcPr>
          <w:p>
            <w:pPr>
              <w:pStyle w:val="15"/>
              <w:spacing w:before="4"/>
              <w:jc w:val="center"/>
            </w:pPr>
          </w:p>
        </w:tc>
        <w:tc>
          <w:tcPr>
            <w:tcW w:w="3494" w:type="dxa"/>
            <w:vAlign w:val="center"/>
          </w:tcPr>
          <w:p>
            <w:pPr>
              <w:pStyle w:val="15"/>
              <w:spacing w:before="4"/>
              <w:jc w:val="center"/>
              <w:rPr>
                <w:sz w:val="21"/>
              </w:rPr>
            </w:pPr>
            <w:r>
              <w:rPr>
                <w:rFonts w:hint="eastAsia" w:ascii="Times New Roman" w:hAnsi="Times New Roman" w:cs="Times New Roman"/>
                <w:color w:val="auto"/>
                <w:sz w:val="21"/>
                <w:szCs w:val="21"/>
                <w:lang w:val="en-US" w:eastAsia="zh-CN"/>
              </w:rPr>
              <w:t>GC9790Plus气相色谱仪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814" w:type="dxa"/>
            <w:vMerge w:val="continue"/>
            <w:vAlign w:val="center"/>
          </w:tcPr>
          <w:p>
            <w:pPr>
              <w:pStyle w:val="15"/>
              <w:jc w:val="center"/>
              <w:rPr>
                <w:sz w:val="21"/>
              </w:rPr>
            </w:pPr>
          </w:p>
        </w:tc>
        <w:tc>
          <w:tcPr>
            <w:tcW w:w="1062" w:type="dxa"/>
            <w:vMerge w:val="restart"/>
            <w:vAlign w:val="center"/>
          </w:tcPr>
          <w:p>
            <w:pPr>
              <w:pStyle w:val="15"/>
              <w:jc w:val="center"/>
              <w:rPr>
                <w:b/>
                <w:sz w:val="20"/>
              </w:rPr>
            </w:pPr>
          </w:p>
          <w:p>
            <w:pPr>
              <w:pStyle w:val="15"/>
              <w:jc w:val="center"/>
              <w:rPr>
                <w:rFonts w:hint="eastAsia" w:eastAsia="宋体"/>
                <w:sz w:val="21"/>
                <w:lang w:val="en-US" w:eastAsia="zh-CN"/>
              </w:rPr>
            </w:pPr>
            <w:r>
              <w:rPr>
                <w:rFonts w:hint="eastAsia"/>
                <w:sz w:val="21"/>
                <w:lang w:val="en-US" w:eastAsia="zh-CN"/>
              </w:rPr>
              <w:t>非甲烷总烃</w:t>
            </w:r>
          </w:p>
        </w:tc>
        <w:tc>
          <w:tcPr>
            <w:tcW w:w="3762" w:type="dxa"/>
            <w:vMerge w:val="restart"/>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jc w:val="center"/>
              <w:textAlignment w:val="auto"/>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 xml:space="preserve">环境空气 总烃、甲烷和非甲烷总烃的测定 直接进样-气相色谱法 </w:t>
            </w:r>
          </w:p>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ascii="Times New Roman" w:eastAsia="Times New Roman"/>
                <w:sz w:val="21"/>
              </w:rPr>
            </w:pPr>
            <w:r>
              <w:rPr>
                <w:rFonts w:hint="eastAsia" w:ascii="Times New Roman" w:hAnsi="Times New Roman" w:cs="Times New Roman"/>
                <w:color w:val="auto"/>
                <w:sz w:val="21"/>
                <w:szCs w:val="21"/>
                <w:lang w:val="en-US" w:eastAsia="zh-CN" w:bidi="ar-SA"/>
              </w:rPr>
              <w:t>HJ 604-2017</w:t>
            </w:r>
          </w:p>
        </w:tc>
        <w:tc>
          <w:tcPr>
            <w:tcW w:w="3494" w:type="dxa"/>
            <w:vAlign w:val="center"/>
          </w:tcPr>
          <w:p>
            <w:pPr>
              <w:pStyle w:val="15"/>
              <w:spacing w:line="242" w:lineRule="auto"/>
              <w:ind w:right="66"/>
              <w:jc w:val="center"/>
              <w:rPr>
                <w:sz w:val="21"/>
              </w:rPr>
            </w:pPr>
            <w:r>
              <w:rPr>
                <w:rFonts w:hint="eastAsia" w:ascii="Times New Roman" w:hAnsi="Times New Roman" w:cs="Times New Roman"/>
                <w:color w:val="auto"/>
                <w:sz w:val="21"/>
                <w:szCs w:val="21"/>
                <w:lang w:val="en-US" w:eastAsia="zh-CN"/>
              </w:rPr>
              <w:t>YQ3000-C全自动烟尘（气）测试仪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814" w:type="dxa"/>
            <w:vMerge w:val="continue"/>
            <w:vAlign w:val="center"/>
          </w:tcPr>
          <w:p>
            <w:pPr>
              <w:pStyle w:val="15"/>
              <w:spacing w:line="242" w:lineRule="auto"/>
              <w:ind w:right="66"/>
              <w:jc w:val="center"/>
            </w:pPr>
          </w:p>
        </w:tc>
        <w:tc>
          <w:tcPr>
            <w:tcW w:w="1062" w:type="dxa"/>
            <w:vMerge w:val="continue"/>
            <w:vAlign w:val="center"/>
          </w:tcPr>
          <w:p>
            <w:pPr>
              <w:pStyle w:val="15"/>
              <w:spacing w:line="242" w:lineRule="auto"/>
              <w:ind w:right="66"/>
              <w:jc w:val="center"/>
            </w:pPr>
          </w:p>
        </w:tc>
        <w:tc>
          <w:tcPr>
            <w:tcW w:w="3762" w:type="dxa"/>
            <w:vMerge w:val="continue"/>
            <w:vAlign w:val="center"/>
          </w:tcPr>
          <w:p>
            <w:pPr>
              <w:pStyle w:val="15"/>
              <w:spacing w:line="242" w:lineRule="auto"/>
              <w:ind w:right="66"/>
              <w:jc w:val="center"/>
            </w:pPr>
          </w:p>
        </w:tc>
        <w:tc>
          <w:tcPr>
            <w:tcW w:w="3494" w:type="dxa"/>
            <w:vAlign w:val="center"/>
          </w:tcPr>
          <w:p>
            <w:pPr>
              <w:pStyle w:val="15"/>
              <w:spacing w:line="242" w:lineRule="auto"/>
              <w:ind w:right="66"/>
              <w:jc w:val="center"/>
              <w:rPr>
                <w:sz w:val="21"/>
              </w:rPr>
            </w:pPr>
            <w:r>
              <w:rPr>
                <w:rFonts w:hint="eastAsia" w:ascii="Times New Roman" w:hAnsi="Times New Roman" w:cs="Times New Roman"/>
                <w:color w:val="auto"/>
                <w:sz w:val="21"/>
                <w:szCs w:val="21"/>
                <w:lang w:val="en-US" w:eastAsia="zh-CN"/>
              </w:rPr>
              <w:t>GC9790Plus气相色谱仪</w:t>
            </w:r>
          </w:p>
        </w:tc>
      </w:tr>
    </w:tbl>
    <w:p>
      <w:pPr>
        <w:pStyle w:val="14"/>
        <w:numPr>
          <w:ilvl w:val="0"/>
          <w:numId w:val="0"/>
        </w:numPr>
        <w:tabs>
          <w:tab w:val="left" w:pos="1315"/>
        </w:tabs>
        <w:spacing w:before="0" w:after="0" w:line="240" w:lineRule="auto"/>
        <w:ind w:left="714" w:leftChars="0" w:right="0" w:rightChars="0"/>
        <w:jc w:val="left"/>
        <w:rPr>
          <w:sz w:val="24"/>
        </w:rPr>
      </w:pPr>
    </w:p>
    <w:p>
      <w:pPr>
        <w:pStyle w:val="14"/>
        <w:numPr>
          <w:ilvl w:val="1"/>
          <w:numId w:val="2"/>
        </w:numPr>
        <w:tabs>
          <w:tab w:val="left" w:pos="1315"/>
        </w:tabs>
        <w:spacing w:before="0" w:after="0" w:line="240" w:lineRule="auto"/>
        <w:ind w:left="1315" w:right="0" w:hanging="601"/>
        <w:jc w:val="left"/>
        <w:rPr>
          <w:sz w:val="22"/>
        </w:rPr>
      </w:pPr>
      <w:r>
        <w:rPr>
          <w:rFonts w:hint="eastAsia"/>
          <w:sz w:val="24"/>
          <w:lang w:val="en-US" w:eastAsia="zh-CN"/>
        </w:rPr>
        <w:t>废水</w:t>
      </w:r>
      <w:r>
        <w:rPr>
          <w:sz w:val="24"/>
        </w:rPr>
        <w:t>检测</w:t>
      </w:r>
    </w:p>
    <w:p>
      <w:pPr>
        <w:spacing w:before="185"/>
        <w:ind w:left="713" w:right="0" w:firstLine="0"/>
        <w:jc w:val="left"/>
        <w:rPr>
          <w:b w:val="0"/>
          <w:bCs/>
          <w:sz w:val="21"/>
        </w:rPr>
      </w:pPr>
      <w:r>
        <w:rPr>
          <w:b w:val="0"/>
          <w:bCs/>
          <w:sz w:val="21"/>
        </w:rPr>
        <w:t xml:space="preserve">表 </w:t>
      </w:r>
      <w:r>
        <w:rPr>
          <w:rFonts w:ascii="Times New Roman" w:eastAsia="Times New Roman"/>
          <w:b w:val="0"/>
          <w:bCs/>
          <w:sz w:val="21"/>
        </w:rPr>
        <w:t xml:space="preserve">5-2  </w:t>
      </w:r>
      <w:r>
        <w:rPr>
          <w:rFonts w:hint="eastAsia" w:ascii="Times New Roman"/>
          <w:b w:val="0"/>
          <w:bCs/>
          <w:sz w:val="21"/>
          <w:lang w:val="en-US" w:eastAsia="zh-CN"/>
        </w:rPr>
        <w:t>废水</w:t>
      </w:r>
      <w:r>
        <w:rPr>
          <w:b w:val="0"/>
          <w:bCs/>
          <w:sz w:val="21"/>
        </w:rPr>
        <w:t>检测方法与仪器</w:t>
      </w:r>
    </w:p>
    <w:tbl>
      <w:tblPr>
        <w:tblStyle w:val="10"/>
        <w:tblW w:w="0" w:type="auto"/>
        <w:tblInd w:w="3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1067"/>
        <w:gridCol w:w="3731"/>
        <w:gridCol w:w="35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14" w:type="dxa"/>
          </w:tcPr>
          <w:p>
            <w:pPr>
              <w:pStyle w:val="15"/>
              <w:spacing w:before="56" w:line="242" w:lineRule="auto"/>
              <w:ind w:left="195" w:right="181"/>
              <w:rPr>
                <w:sz w:val="21"/>
              </w:rPr>
            </w:pPr>
            <w:r>
              <w:rPr>
                <w:sz w:val="21"/>
              </w:rPr>
              <w:t>样品名称</w:t>
            </w:r>
          </w:p>
        </w:tc>
        <w:tc>
          <w:tcPr>
            <w:tcW w:w="1067" w:type="dxa"/>
            <w:vAlign w:val="center"/>
          </w:tcPr>
          <w:p>
            <w:pPr>
              <w:jc w:val="center"/>
            </w:pPr>
            <w:r>
              <w:t>检测项目</w:t>
            </w:r>
          </w:p>
        </w:tc>
        <w:tc>
          <w:tcPr>
            <w:tcW w:w="3731" w:type="dxa"/>
          </w:tcPr>
          <w:p>
            <w:pPr>
              <w:pStyle w:val="15"/>
              <w:spacing w:before="12"/>
              <w:rPr>
                <w:b/>
                <w:sz w:val="14"/>
              </w:rPr>
            </w:pPr>
          </w:p>
          <w:p>
            <w:pPr>
              <w:pStyle w:val="15"/>
              <w:ind w:left="376" w:right="364"/>
              <w:jc w:val="center"/>
              <w:rPr>
                <w:sz w:val="21"/>
              </w:rPr>
            </w:pPr>
            <w:r>
              <w:rPr>
                <w:sz w:val="21"/>
              </w:rPr>
              <w:t>检测依据</w:t>
            </w:r>
          </w:p>
        </w:tc>
        <w:tc>
          <w:tcPr>
            <w:tcW w:w="3522" w:type="dxa"/>
          </w:tcPr>
          <w:p>
            <w:pPr>
              <w:pStyle w:val="15"/>
              <w:spacing w:before="12"/>
              <w:rPr>
                <w:b/>
                <w:sz w:val="14"/>
              </w:rPr>
            </w:pPr>
          </w:p>
          <w:p>
            <w:pPr>
              <w:pStyle w:val="15"/>
              <w:ind w:left="199" w:right="188"/>
              <w:jc w:val="center"/>
              <w:rPr>
                <w:sz w:val="21"/>
              </w:rPr>
            </w:pPr>
            <w:r>
              <w:rPr>
                <w:sz w:val="21"/>
              </w:rPr>
              <w:t>检测设备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restart"/>
            <w:vAlign w:val="center"/>
          </w:tcPr>
          <w:p>
            <w:pPr>
              <w:pStyle w:val="15"/>
              <w:spacing w:before="1"/>
              <w:jc w:val="center"/>
              <w:rPr>
                <w:rFonts w:hint="eastAsia" w:eastAsia="宋体"/>
                <w:sz w:val="21"/>
                <w:lang w:val="en-US" w:eastAsia="zh-CN"/>
              </w:rPr>
            </w:pPr>
            <w:r>
              <w:rPr>
                <w:rFonts w:hint="eastAsia"/>
                <w:sz w:val="21"/>
                <w:lang w:val="en-US" w:eastAsia="zh-CN"/>
              </w:rPr>
              <w:t>废水</w:t>
            </w:r>
          </w:p>
        </w:tc>
        <w:tc>
          <w:tcPr>
            <w:tcW w:w="1067" w:type="dxa"/>
            <w:vAlign w:val="center"/>
          </w:tcPr>
          <w:p>
            <w:pPr>
              <w:jc w:val="center"/>
              <w:rPr>
                <w:rFonts w:hint="eastAsia"/>
                <w:lang w:val="en-US" w:eastAsia="zh-CN"/>
              </w:rPr>
            </w:pPr>
            <w:r>
              <w:rPr>
                <w:rFonts w:hint="eastAsia"/>
                <w:lang w:val="en-US" w:eastAsia="zh-CN"/>
              </w:rPr>
              <w:t>悬浮物</w:t>
            </w:r>
          </w:p>
        </w:tc>
        <w:tc>
          <w:tcPr>
            <w:tcW w:w="3731"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ascii="Times New Roman"/>
                <w:sz w:val="21"/>
              </w:rPr>
            </w:pPr>
            <w:r>
              <w:rPr>
                <w:rFonts w:hint="eastAsia" w:ascii="Times New Roman" w:hAnsi="Times New Roman" w:cs="宋体"/>
                <w:color w:val="auto"/>
                <w:sz w:val="21"/>
                <w:szCs w:val="21"/>
                <w:highlight w:val="none"/>
                <w:lang w:val="en-US" w:eastAsia="zh-CN" w:bidi="ar-SA"/>
              </w:rPr>
              <w:t>水质 悬浮物的测定 重量法                    GB 11901-1989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宋体"/>
                <w:color w:val="auto"/>
                <w:sz w:val="21"/>
                <w:szCs w:val="21"/>
                <w:highlight w:val="none"/>
                <w:lang w:val="en-US" w:eastAsia="zh-CN" w:bidi="ar-SA"/>
              </w:rPr>
              <w:t>FA2204B电子天平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eastAsia"/>
                <w:lang w:val="zh-CN" w:eastAsia="zh-CN"/>
              </w:rPr>
            </w:pPr>
            <w:r>
              <w:rPr>
                <w:rFonts w:hint="eastAsia"/>
                <w:lang w:val="en-US" w:eastAsia="zh-CN"/>
              </w:rPr>
              <w:t>化学需氧量</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化学需氧量的测定 重铬酸盐法     HJ 828-2017</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Times New Roman"/>
                <w:color w:val="auto"/>
                <w:sz w:val="21"/>
                <w:szCs w:val="21"/>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eastAsia"/>
                <w:lang w:val="en-US" w:eastAsia="zh-CN"/>
              </w:rPr>
            </w:pPr>
            <w:r>
              <w:rPr>
                <w:rFonts w:hint="eastAsia"/>
                <w:lang w:val="en-US" w:eastAsia="zh-CN"/>
              </w:rPr>
              <w:t>生化需氧量（BOD5）</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五日生化需氧量（</w:t>
            </w:r>
            <w:r>
              <w:rPr>
                <w:rFonts w:hint="eastAsia" w:ascii="Times New Roman" w:hAnsi="Times New Roman" w:eastAsia="宋体"/>
                <w:color w:val="auto"/>
                <w:sz w:val="21"/>
                <w:szCs w:val="21"/>
                <w:lang w:val="en-US" w:eastAsia="zh-CN"/>
              </w:rPr>
              <w:t>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cs="宋体"/>
                <w:color w:val="auto"/>
                <w:sz w:val="21"/>
                <w:szCs w:val="21"/>
                <w:highlight w:val="none"/>
                <w:lang w:val="en-US" w:eastAsia="zh-CN" w:bidi="ar-SA"/>
              </w:rPr>
              <w:t>）的测定 稀释与接种法HJ 505-2009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宋体"/>
                <w:color w:val="auto"/>
                <w:sz w:val="21"/>
                <w:szCs w:val="21"/>
                <w:highlight w:val="none"/>
                <w:lang w:val="en-US" w:eastAsia="zh-CN" w:bidi="ar-SA"/>
              </w:rPr>
              <w:t>LRH-70F生化培养箱/JPSJ-605溶解氧测定仪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default"/>
                <w:lang w:val="en-US" w:eastAsia="zh-CN"/>
              </w:rPr>
            </w:pPr>
            <w:r>
              <w:rPr>
                <w:rFonts w:hint="eastAsia"/>
                <w:lang w:val="en-US" w:eastAsia="zh-CN"/>
              </w:rPr>
              <w:t>氨氮</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氨氮的测定 纳氏试剂分光光度法   HJ 535-2009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Times New Roman"/>
                <w:color w:val="auto"/>
                <w:sz w:val="21"/>
                <w:szCs w:val="21"/>
                <w:lang w:val="en-US" w:eastAsia="zh-CN"/>
              </w:rPr>
              <w:t>T6新世纪紫外可见分光光度计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default"/>
                <w:lang w:val="en-US" w:eastAsia="zh-CN"/>
              </w:rPr>
            </w:pPr>
            <w:r>
              <w:rPr>
                <w:rFonts w:hint="eastAsia"/>
              </w:rPr>
              <w:t>总磷</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总磷的测定 钼酸铵分光光度法    GB 11893-1989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Times New Roman"/>
                <w:color w:val="auto"/>
                <w:sz w:val="21"/>
                <w:szCs w:val="21"/>
                <w:lang w:val="en-US" w:eastAsia="zh-CN"/>
              </w:rPr>
              <w:t>T6新世纪紫外可见分光光度计</w:t>
            </w:r>
          </w:p>
        </w:tc>
      </w:tr>
    </w:tbl>
    <w:p>
      <w:pPr>
        <w:pStyle w:val="5"/>
        <w:spacing w:before="1"/>
        <w:rPr>
          <w:b/>
          <w:sz w:val="14"/>
        </w:rPr>
      </w:pPr>
      <w:r>
        <w:pict>
          <v:group id="_x0000_s1104" o:spid="_x0000_s1104" o:spt="203" style="position:absolute;left:0pt;margin-left:60.05pt;margin-top:90.15pt;height:665.6pt;width:475.1pt;mso-position-horizontal-relative:page;mso-position-vertical-relative:page;z-index:-251645952;mso-width-relative:page;mso-height-relative:page;" coordorigin="1201,1804" coordsize="9502,13312">
            <o:lock v:ext="edit"/>
            <v:line id="_x0000_s1105" o:spid="_x0000_s1105" o:spt="20" style="position:absolute;left:1201;top:1808;height:0;width:9502;" stroked="t" coordsize="21600,21600">
              <v:path arrowok="t"/>
              <v:fill focussize="0,0"/>
              <v:stroke weight="0.48pt" color="#000000"/>
              <v:imagedata o:title=""/>
              <o:lock v:ext="edit"/>
            </v:line>
            <v:line id="_x0000_s1106" o:spid="_x0000_s1106" o:spt="20" style="position:absolute;left:1201;top:15110;height:0;width:9502;" stroked="t" coordsize="21600,21600">
              <v:path arrowok="t"/>
              <v:fill focussize="0,0"/>
              <v:stroke weight="0.48pt" color="#000000"/>
              <v:imagedata o:title=""/>
              <o:lock v:ext="edit"/>
            </v:line>
            <v:line id="_x0000_s1107" o:spid="_x0000_s1107" o:spt="20" style="position:absolute;left:1206;top:1804;height:13302;width:0;" stroked="t" coordsize="21600,21600">
              <v:path arrowok="t"/>
              <v:fill focussize="0,0"/>
              <v:stroke weight="0.48pt" color="#000000"/>
              <v:imagedata o:title=""/>
              <o:lock v:ext="edit"/>
            </v:line>
            <v:line id="_x0000_s1108" o:spid="_x0000_s1108" o:spt="20" style="position:absolute;left:10698;top:1804;height:13302;width:0;" stroked="t" coordsize="21600,21600">
              <v:path arrowok="t"/>
              <v:fill focussize="0,0"/>
              <v:stroke weight="0.48pt" color="#000000"/>
              <v:imagedata o:title=""/>
              <o:lock v:ext="edit"/>
            </v:line>
          </v:group>
        </w:pict>
      </w:r>
    </w:p>
    <w:p>
      <w:pPr>
        <w:pStyle w:val="3"/>
        <w:spacing w:before="66"/>
        <w:ind w:left="714"/>
        <w:rPr>
          <w:rFonts w:hint="eastAsia"/>
          <w:b w:val="0"/>
          <w:bCs w:val="0"/>
          <w:lang w:val="en-US" w:eastAsia="zh-CN"/>
        </w:rPr>
      </w:pPr>
      <w:r>
        <w:rPr>
          <w:rFonts w:hint="eastAsia"/>
          <w:b w:val="0"/>
          <w:bCs w:val="0"/>
          <w:lang w:eastAsia="zh-CN"/>
        </w:rPr>
        <w:t>（</w:t>
      </w:r>
      <w:r>
        <w:rPr>
          <w:rFonts w:hint="eastAsia"/>
          <w:b w:val="0"/>
          <w:bCs w:val="0"/>
          <w:lang w:val="en-US" w:eastAsia="zh-CN"/>
        </w:rPr>
        <w:t>3</w:t>
      </w:r>
      <w:r>
        <w:rPr>
          <w:rFonts w:hint="eastAsia"/>
          <w:b w:val="0"/>
          <w:bCs w:val="0"/>
          <w:lang w:eastAsia="zh-CN"/>
        </w:rPr>
        <w:t>）</w:t>
      </w:r>
      <w:r>
        <w:rPr>
          <w:rFonts w:hint="eastAsia"/>
          <w:b w:val="0"/>
          <w:bCs w:val="0"/>
          <w:lang w:val="en-US" w:eastAsia="zh-CN"/>
        </w:rPr>
        <w:t>噪声检测</w:t>
      </w:r>
    </w:p>
    <w:p>
      <w:pPr>
        <w:spacing w:before="185"/>
        <w:ind w:left="713" w:right="0" w:firstLine="0"/>
        <w:jc w:val="center"/>
        <w:rPr>
          <w:b w:val="0"/>
          <w:bCs/>
          <w:sz w:val="21"/>
        </w:rPr>
      </w:pPr>
      <w:r>
        <w:rPr>
          <w:b w:val="0"/>
          <w:bCs/>
          <w:sz w:val="21"/>
        </w:rPr>
        <w:t xml:space="preserve">表 </w:t>
      </w:r>
      <w:r>
        <w:rPr>
          <w:rFonts w:ascii="Times New Roman" w:eastAsia="Times New Roman"/>
          <w:b w:val="0"/>
          <w:bCs/>
          <w:sz w:val="21"/>
        </w:rPr>
        <w:t>5-</w:t>
      </w:r>
      <w:r>
        <w:rPr>
          <w:rFonts w:hint="eastAsia" w:ascii="Times New Roman"/>
          <w:b w:val="0"/>
          <w:bCs/>
          <w:sz w:val="21"/>
          <w:lang w:val="en-US" w:eastAsia="zh-CN"/>
        </w:rPr>
        <w:t>3</w:t>
      </w:r>
      <w:r>
        <w:rPr>
          <w:rFonts w:ascii="Times New Roman" w:eastAsia="Times New Roman"/>
          <w:b w:val="0"/>
          <w:bCs/>
          <w:sz w:val="21"/>
        </w:rPr>
        <w:t xml:space="preserve">  </w:t>
      </w:r>
      <w:r>
        <w:rPr>
          <w:rFonts w:hint="eastAsia" w:ascii="Times New Roman"/>
          <w:b w:val="0"/>
          <w:bCs/>
          <w:sz w:val="21"/>
          <w:lang w:val="en-US" w:eastAsia="zh-CN"/>
        </w:rPr>
        <w:t>噪声</w:t>
      </w:r>
      <w:r>
        <w:rPr>
          <w:b w:val="0"/>
          <w:bCs/>
          <w:sz w:val="21"/>
        </w:rPr>
        <w:t>检测方法与仪器</w:t>
      </w:r>
    </w:p>
    <w:tbl>
      <w:tblPr>
        <w:tblStyle w:val="10"/>
        <w:tblW w:w="0" w:type="auto"/>
        <w:tblInd w:w="3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1067"/>
        <w:gridCol w:w="3731"/>
        <w:gridCol w:w="35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14" w:type="dxa"/>
          </w:tcPr>
          <w:p>
            <w:pPr>
              <w:pStyle w:val="15"/>
              <w:spacing w:before="56" w:line="242" w:lineRule="auto"/>
              <w:ind w:left="195" w:right="181"/>
              <w:rPr>
                <w:sz w:val="21"/>
              </w:rPr>
            </w:pPr>
            <w:r>
              <w:rPr>
                <w:sz w:val="21"/>
              </w:rPr>
              <w:t>样品名称</w:t>
            </w:r>
          </w:p>
        </w:tc>
        <w:tc>
          <w:tcPr>
            <w:tcW w:w="1067" w:type="dxa"/>
            <w:vAlign w:val="center"/>
          </w:tcPr>
          <w:p>
            <w:pPr>
              <w:jc w:val="center"/>
            </w:pPr>
            <w:r>
              <w:t>检测项目</w:t>
            </w:r>
          </w:p>
        </w:tc>
        <w:tc>
          <w:tcPr>
            <w:tcW w:w="3731" w:type="dxa"/>
          </w:tcPr>
          <w:p>
            <w:pPr>
              <w:pStyle w:val="15"/>
              <w:spacing w:before="12"/>
              <w:rPr>
                <w:b/>
                <w:sz w:val="14"/>
              </w:rPr>
            </w:pPr>
          </w:p>
          <w:p>
            <w:pPr>
              <w:pStyle w:val="15"/>
              <w:ind w:left="376" w:right="364"/>
              <w:jc w:val="center"/>
              <w:rPr>
                <w:sz w:val="21"/>
              </w:rPr>
            </w:pPr>
            <w:r>
              <w:rPr>
                <w:sz w:val="21"/>
              </w:rPr>
              <w:t>检测依据</w:t>
            </w:r>
          </w:p>
        </w:tc>
        <w:tc>
          <w:tcPr>
            <w:tcW w:w="3522" w:type="dxa"/>
          </w:tcPr>
          <w:p>
            <w:pPr>
              <w:pStyle w:val="15"/>
              <w:spacing w:before="12"/>
              <w:rPr>
                <w:b/>
                <w:sz w:val="14"/>
              </w:rPr>
            </w:pPr>
          </w:p>
          <w:p>
            <w:pPr>
              <w:pStyle w:val="15"/>
              <w:ind w:left="199" w:right="188"/>
              <w:jc w:val="center"/>
              <w:rPr>
                <w:sz w:val="21"/>
              </w:rPr>
            </w:pPr>
            <w:r>
              <w:rPr>
                <w:sz w:val="21"/>
              </w:rPr>
              <w:t>检测设备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Align w:val="center"/>
          </w:tcPr>
          <w:p>
            <w:pPr>
              <w:pStyle w:val="15"/>
              <w:spacing w:before="1"/>
              <w:jc w:val="center"/>
              <w:rPr>
                <w:rFonts w:hint="eastAsia" w:eastAsia="宋体"/>
                <w:sz w:val="21"/>
                <w:lang w:val="en-US" w:eastAsia="zh-CN"/>
              </w:rPr>
            </w:pPr>
            <w:r>
              <w:rPr>
                <w:rFonts w:hint="eastAsia"/>
                <w:sz w:val="21"/>
                <w:lang w:val="en-US" w:eastAsia="zh-CN"/>
              </w:rPr>
              <w:t>噪声</w:t>
            </w:r>
          </w:p>
        </w:tc>
        <w:tc>
          <w:tcPr>
            <w:tcW w:w="1067" w:type="dxa"/>
            <w:vAlign w:val="center"/>
          </w:tcPr>
          <w:p>
            <w:pPr>
              <w:jc w:val="center"/>
              <w:rPr>
                <w:rFonts w:hint="default"/>
                <w:lang w:val="en-US" w:eastAsia="zh-CN"/>
              </w:rPr>
            </w:pPr>
            <w:r>
              <w:rPr>
                <w:rFonts w:hint="eastAsia"/>
                <w:lang w:val="en-US" w:eastAsia="zh-CN"/>
              </w:rPr>
              <w:t>厂界噪声</w:t>
            </w:r>
          </w:p>
        </w:tc>
        <w:tc>
          <w:tcPr>
            <w:tcW w:w="3731"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hint="default" w:ascii="Times New Roman"/>
                <w:sz w:val="21"/>
                <w:lang w:val="en-US"/>
              </w:rPr>
            </w:pPr>
            <w:r>
              <w:rPr>
                <w:rFonts w:hint="default" w:ascii="Times New Roman" w:hAnsi="Times New Roman" w:eastAsia="宋体" w:cs="Times New Roman"/>
                <w:sz w:val="21"/>
                <w:szCs w:val="21"/>
                <w:lang w:val="en-US" w:eastAsia="zh-CN"/>
              </w:rPr>
              <w:t>工业企业厂界噪声排放标准</w:t>
            </w:r>
            <w:r>
              <w:rPr>
                <w:rFonts w:hint="eastAsia" w:ascii="Times New Roman" w:hAnsi="Times New Roman" w:cs="宋体"/>
                <w:color w:val="auto"/>
                <w:sz w:val="21"/>
                <w:szCs w:val="21"/>
                <w:highlight w:val="none"/>
                <w:lang w:val="en-US" w:eastAsia="zh-CN" w:bidi="ar-SA"/>
              </w:rPr>
              <w:t xml:space="preserve">                    GB 12348-2008</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hint="default"/>
                <w:sz w:val="21"/>
                <w:lang w:val="en-US"/>
              </w:rPr>
            </w:pPr>
            <w:r>
              <w:rPr>
                <w:rFonts w:hint="eastAsia" w:ascii="Times New Roman" w:hAnsi="Times New Roman" w:cs="Times New Roman"/>
                <w:color w:val="auto"/>
                <w:sz w:val="21"/>
                <w:szCs w:val="21"/>
                <w:lang w:val="en-US" w:eastAsia="zh-CN"/>
              </w:rPr>
              <w:t>AWA5688多功能声级计</w:t>
            </w:r>
          </w:p>
        </w:tc>
      </w:tr>
    </w:tbl>
    <w:p>
      <w:pPr>
        <w:pStyle w:val="3"/>
        <w:spacing w:before="66"/>
        <w:ind w:left="714"/>
      </w:pPr>
    </w:p>
    <w:p>
      <w:pPr>
        <w:pStyle w:val="3"/>
        <w:spacing w:before="66"/>
        <w:ind w:left="714"/>
      </w:pPr>
    </w:p>
    <w:p>
      <w:pPr>
        <w:pStyle w:val="3"/>
        <w:spacing w:before="66"/>
        <w:ind w:left="714"/>
      </w:pPr>
    </w:p>
    <w:p>
      <w:pPr>
        <w:pStyle w:val="3"/>
        <w:spacing w:before="66"/>
        <w:ind w:left="714"/>
      </w:pPr>
    </w:p>
    <w:p>
      <w:pPr>
        <w:pStyle w:val="3"/>
        <w:spacing w:before="66"/>
        <w:ind w:left="714"/>
      </w:pPr>
      <w:r>
        <w:pict>
          <v:group id="_x0000_s1109" o:spid="_x0000_s1109" o:spt="203" style="position:absolute;left:0pt;margin-left:58.4pt;margin-top:-3.3pt;height:704.75pt;width:475.1pt;mso-position-horizontal-relative:page;z-index:-251644928;mso-width-relative:page;mso-height-relative:page;" coordorigin="1201,39" coordsize="9502,12660">
            <o:lock v:ext="edit" aspectratio="f"/>
            <v:line id="_x0000_s1110" o:spid="_x0000_s1110" o:spt="20" style="position:absolute;left:1201;top:44;height:0;width:9502;" filled="f" stroked="t" coordsize="21600,21600">
              <v:path arrowok="t"/>
              <v:fill on="f" focussize="0,0"/>
              <v:stroke weight="0.48pt" color="#000000"/>
              <v:imagedata o:title=""/>
              <o:lock v:ext="edit" aspectratio="f"/>
            </v:line>
            <v:line id="_x0000_s1111" o:spid="_x0000_s1111" o:spt="20" style="position:absolute;left:1201;top:12694;height:0;width:9502;" filled="f" stroked="t" coordsize="21600,21600">
              <v:path arrowok="t"/>
              <v:fill on="f" focussize="0,0"/>
              <v:stroke weight="0.48pt" color="#000000"/>
              <v:imagedata o:title=""/>
              <o:lock v:ext="edit" aspectratio="f"/>
            </v:line>
            <v:line id="_x0000_s1112" o:spid="_x0000_s1112" o:spt="20" style="position:absolute;left:1206;top:39;height:12651;width:0;" filled="f" stroked="t" coordsize="21600,21600">
              <v:path arrowok="t"/>
              <v:fill on="f" focussize="0,0"/>
              <v:stroke weight="0.48pt" color="#000000"/>
              <v:imagedata o:title=""/>
              <o:lock v:ext="edit" aspectratio="f"/>
            </v:line>
            <v:line id="_x0000_s1113" o:spid="_x0000_s1113" o:spt="20" style="position:absolute;left:10698;top:39;height:12651;width:0;" filled="f" stroked="t" coordsize="21600,21600">
              <v:path arrowok="t"/>
              <v:fill on="f" focussize="0,0"/>
              <v:stroke weight="0.48pt" color="#000000"/>
              <v:imagedata o:title=""/>
              <o:lock v:ext="edit" aspectratio="f"/>
            </v:line>
          </v:group>
        </w:pict>
      </w:r>
      <w:r>
        <w:t>（二）质量保证和质量控制</w:t>
      </w:r>
    </w:p>
    <w:p>
      <w:pPr>
        <w:pStyle w:val="5"/>
        <w:spacing w:before="159" w:line="364" w:lineRule="auto"/>
        <w:ind w:left="234" w:right="173" w:firstLine="480"/>
      </w:pPr>
      <w:r>
        <w:t>本次验收监测的质量保证严格按照</w:t>
      </w:r>
      <w:r>
        <w:rPr>
          <w:rFonts w:hint="eastAsia"/>
          <w:lang w:val="en-US" w:eastAsia="zh-CN"/>
        </w:rPr>
        <w:t>贵州黔之意检测技术</w:t>
      </w:r>
      <w:r>
        <w:t>有限公司的《质量手册》、《程序文件》体系文件的要求，实施全程监控。</w:t>
      </w:r>
    </w:p>
    <w:p>
      <w:pPr>
        <w:pStyle w:val="14"/>
        <w:numPr>
          <w:ilvl w:val="0"/>
          <w:numId w:val="3"/>
        </w:numPr>
        <w:tabs>
          <w:tab w:val="left" w:pos="1075"/>
        </w:tabs>
        <w:spacing w:before="0" w:after="0" w:line="306" w:lineRule="exact"/>
        <w:ind w:left="1075" w:right="0" w:hanging="361"/>
        <w:jc w:val="left"/>
        <w:rPr>
          <w:sz w:val="24"/>
        </w:rPr>
      </w:pPr>
      <w:r>
        <w:rPr>
          <w:sz w:val="24"/>
        </w:rPr>
        <w:t>本项目竣工环保验收现场监测，按规定满足相应的工况条件；</w:t>
      </w:r>
    </w:p>
    <w:p>
      <w:pPr>
        <w:pStyle w:val="14"/>
        <w:numPr>
          <w:ilvl w:val="0"/>
          <w:numId w:val="3"/>
        </w:numPr>
        <w:tabs>
          <w:tab w:val="left" w:pos="1075"/>
        </w:tabs>
        <w:spacing w:before="160" w:after="0" w:line="240" w:lineRule="auto"/>
        <w:ind w:left="1075" w:right="0" w:hanging="361"/>
        <w:jc w:val="left"/>
        <w:rPr>
          <w:sz w:val="24"/>
        </w:rPr>
      </w:pPr>
      <w:r>
        <w:rPr>
          <w:sz w:val="24"/>
        </w:rPr>
        <w:t>现场采用和测试严格按《验收监测方案》进行；</w:t>
      </w:r>
    </w:p>
    <w:p>
      <w:pPr>
        <w:pStyle w:val="14"/>
        <w:numPr>
          <w:ilvl w:val="0"/>
          <w:numId w:val="3"/>
        </w:numPr>
        <w:tabs>
          <w:tab w:val="left" w:pos="1075"/>
        </w:tabs>
        <w:spacing w:before="50" w:after="0" w:line="362" w:lineRule="auto"/>
        <w:ind w:left="234" w:right="288" w:firstLine="480"/>
        <w:jc w:val="left"/>
        <w:rPr>
          <w:sz w:val="24"/>
        </w:rPr>
      </w:pPr>
      <w:r>
        <w:rPr>
          <w:spacing w:val="-1"/>
          <w:sz w:val="24"/>
        </w:rPr>
        <w:t>验收监测中使用的布点、采样、分析测试方法均选择目前适用的国家和行业标准</w:t>
      </w:r>
      <w:r>
        <w:rPr>
          <w:sz w:val="24"/>
        </w:rPr>
        <w:t>分析方法、监测技术规范；</w:t>
      </w:r>
    </w:p>
    <w:p>
      <w:pPr>
        <w:pStyle w:val="14"/>
        <w:numPr>
          <w:ilvl w:val="0"/>
          <w:numId w:val="3"/>
        </w:numPr>
        <w:tabs>
          <w:tab w:val="left" w:pos="1075"/>
        </w:tabs>
        <w:spacing w:before="5" w:after="0" w:line="364" w:lineRule="auto"/>
        <w:ind w:left="234" w:right="288" w:firstLine="480"/>
        <w:jc w:val="left"/>
        <w:rPr>
          <w:sz w:val="24"/>
        </w:rPr>
      </w:pPr>
      <w:r>
        <w:rPr>
          <w:spacing w:val="-1"/>
          <w:sz w:val="24"/>
        </w:rPr>
        <w:t>验收监测的质量保证和质量控制，按国家有关规定、监测技术规范和有关质量控</w:t>
      </w:r>
      <w:r>
        <w:rPr>
          <w:sz w:val="24"/>
        </w:rPr>
        <w:t>制手册进行；</w:t>
      </w:r>
    </w:p>
    <w:p>
      <w:pPr>
        <w:pStyle w:val="14"/>
        <w:numPr>
          <w:ilvl w:val="0"/>
          <w:numId w:val="3"/>
        </w:numPr>
        <w:tabs>
          <w:tab w:val="left" w:pos="1075"/>
        </w:tabs>
        <w:spacing w:before="0" w:after="0" w:line="306" w:lineRule="exact"/>
        <w:ind w:left="1075" w:right="0" w:hanging="361"/>
        <w:jc w:val="left"/>
        <w:rPr>
          <w:sz w:val="24"/>
        </w:rPr>
      </w:pPr>
      <w:r>
        <w:rPr>
          <w:sz w:val="24"/>
        </w:rPr>
        <w:t>参加验收监测采样和测试的人员，按国家有关规定持证上岗；</w:t>
      </w:r>
    </w:p>
    <w:p>
      <w:pPr>
        <w:pStyle w:val="14"/>
        <w:numPr>
          <w:ilvl w:val="0"/>
          <w:numId w:val="3"/>
        </w:numPr>
        <w:tabs>
          <w:tab w:val="left" w:pos="1075"/>
        </w:tabs>
        <w:spacing w:before="160" w:after="0" w:line="364" w:lineRule="auto"/>
        <w:ind w:left="234" w:right="288" w:firstLine="480"/>
        <w:jc w:val="left"/>
        <w:rPr>
          <w:sz w:val="24"/>
        </w:rPr>
      </w:pPr>
      <w:r>
        <w:rPr>
          <w:spacing w:val="-1"/>
          <w:sz w:val="24"/>
        </w:rPr>
        <w:t>气体监测分析过程中的质量保证和质量控制：采样器在进现场前对气体分析、采</w:t>
      </w:r>
      <w:r>
        <w:rPr>
          <w:sz w:val="24"/>
        </w:rPr>
        <w:t>样器流量计等进行校核；</w:t>
      </w:r>
    </w:p>
    <w:p>
      <w:pPr>
        <w:pStyle w:val="14"/>
        <w:numPr>
          <w:ilvl w:val="0"/>
          <w:numId w:val="3"/>
        </w:numPr>
        <w:tabs>
          <w:tab w:val="left" w:pos="1075"/>
        </w:tabs>
        <w:spacing w:before="0" w:after="0" w:line="364" w:lineRule="auto"/>
        <w:ind w:left="234" w:right="288" w:firstLine="480"/>
        <w:jc w:val="left"/>
        <w:rPr>
          <w:sz w:val="24"/>
        </w:rPr>
      </w:pPr>
      <w:r>
        <w:rPr>
          <w:spacing w:val="-1"/>
          <w:sz w:val="24"/>
        </w:rPr>
        <w:t>噪声监测分析过程中的质量保证和质量控制：监测时使用经计量部门检定、并在</w:t>
      </w:r>
      <w:r>
        <w:rPr>
          <w:sz w:val="24"/>
        </w:rPr>
        <w:t>有效使用期内的声级计；</w:t>
      </w:r>
    </w:p>
    <w:p>
      <w:pPr>
        <w:pStyle w:val="14"/>
        <w:numPr>
          <w:ilvl w:val="0"/>
          <w:numId w:val="3"/>
        </w:numPr>
        <w:tabs>
          <w:tab w:val="left" w:pos="1075"/>
        </w:tabs>
        <w:spacing w:before="0" w:after="0" w:line="306" w:lineRule="exact"/>
        <w:ind w:left="1075" w:right="0" w:hanging="361"/>
        <w:jc w:val="left"/>
        <w:rPr>
          <w:sz w:val="24"/>
        </w:rPr>
      </w:pPr>
      <w:r>
        <w:rPr>
          <w:sz w:val="24"/>
        </w:rPr>
        <w:t>声级计使用前、后用声校准器对其进行校准。</w:t>
      </w:r>
    </w:p>
    <w:p>
      <w:pPr>
        <w:pStyle w:val="14"/>
        <w:numPr>
          <w:ilvl w:val="0"/>
          <w:numId w:val="3"/>
        </w:numPr>
        <w:tabs>
          <w:tab w:val="left" w:pos="1075"/>
        </w:tabs>
        <w:spacing w:before="158" w:after="0" w:line="364" w:lineRule="auto"/>
        <w:ind w:left="234" w:right="288" w:firstLine="480"/>
        <w:jc w:val="left"/>
        <w:rPr>
          <w:sz w:val="24"/>
        </w:rPr>
      </w:pPr>
      <w:r>
        <w:rPr>
          <w:spacing w:val="-1"/>
          <w:sz w:val="24"/>
        </w:rPr>
        <w:t>验收监测的采样记录及分析测试结果，按国家标准和监测技术规范有关要求进行</w:t>
      </w:r>
      <w:r>
        <w:rPr>
          <w:sz w:val="24"/>
        </w:rPr>
        <w:t>数据处理和填报，并按有关规定和要求进行三级审核。</w:t>
      </w:r>
    </w:p>
    <w:p>
      <w:pPr>
        <w:spacing w:after="0" w:line="364" w:lineRule="auto"/>
        <w:jc w:val="left"/>
        <w:rPr>
          <w:sz w:val="24"/>
        </w:rPr>
        <w:sectPr>
          <w:footerReference r:id="rId11" w:type="default"/>
          <w:pgSz w:w="11910" w:h="16840"/>
          <w:pgMar w:top="1400" w:right="1060" w:bottom="1180" w:left="1080" w:header="0" w:footer="915" w:gutter="0"/>
          <w:pgBorders>
            <w:top w:val="none" w:sz="0" w:space="0"/>
            <w:left w:val="none" w:sz="0" w:space="0"/>
            <w:bottom w:val="none" w:sz="0" w:space="0"/>
            <w:right w:val="none" w:sz="0" w:space="0"/>
          </w:pgBorders>
          <w:cols w:space="720" w:num="1"/>
        </w:sectPr>
      </w:pPr>
    </w:p>
    <w:p>
      <w:pPr>
        <w:pStyle w:val="2"/>
        <w:tabs>
          <w:tab w:val="left" w:pos="1490"/>
        </w:tabs>
        <w:ind w:left="718"/>
      </w:pPr>
      <w:bookmarkStart w:id="8" w:name="_TOC_250002"/>
      <w:r>
        <w:t>表</w:t>
      </w:r>
      <w:r>
        <w:rPr>
          <w:spacing w:val="-71"/>
        </w:rPr>
        <w:t xml:space="preserve"> </w:t>
      </w:r>
      <w:r>
        <w:rPr>
          <w:rFonts w:ascii="Times New Roman" w:eastAsia="Times New Roman"/>
        </w:rPr>
        <w:t>6</w:t>
      </w:r>
      <w:r>
        <w:rPr>
          <w:rFonts w:ascii="Times New Roman" w:eastAsia="Times New Roman"/>
        </w:rPr>
        <w:tab/>
      </w:r>
      <w:bookmarkEnd w:id="8"/>
      <w:r>
        <w:t>验收监测内容</w:t>
      </w:r>
    </w:p>
    <w:p>
      <w:pPr>
        <w:pStyle w:val="3"/>
        <w:spacing w:before="13"/>
        <w:ind w:left="225"/>
      </w:pPr>
      <w:r>
        <w:t>一、环境质量监测</w:t>
      </w:r>
    </w:p>
    <w:p>
      <w:pPr>
        <w:pStyle w:val="5"/>
        <w:spacing w:before="158" w:line="340" w:lineRule="auto"/>
        <w:ind w:left="225" w:right="416" w:firstLine="480"/>
      </w:pPr>
      <w:r>
        <w:rPr>
          <w:spacing w:val="-1"/>
        </w:rPr>
        <w:t>本次验收监测方案根据本项目环境影响报告表以及</w:t>
      </w:r>
      <w:r>
        <w:rPr>
          <w:rFonts w:hint="eastAsia"/>
          <w:spacing w:val="-1"/>
          <w:lang w:val="en-US" w:eastAsia="zh-CN"/>
        </w:rPr>
        <w:t>贵州双龙航空港经济区生态建设管理局</w:t>
      </w:r>
      <w:r>
        <w:rPr>
          <w:spacing w:val="-1"/>
        </w:rPr>
        <w:t>对该</w:t>
      </w:r>
      <w:r>
        <w:t>项目环境影响报告表批复要求设置。</w:t>
      </w:r>
    </w:p>
    <w:p>
      <w:pPr>
        <w:pStyle w:val="3"/>
        <w:numPr>
          <w:ilvl w:val="0"/>
          <w:numId w:val="4"/>
        </w:numPr>
        <w:tabs>
          <w:tab w:val="left" w:pos="1307"/>
        </w:tabs>
        <w:spacing w:before="0" w:after="0" w:line="307" w:lineRule="exact"/>
        <w:ind w:left="1306" w:right="0" w:hanging="602"/>
        <w:jc w:val="left"/>
      </w:pPr>
      <w:r>
        <w:t>废气监测内容</w:t>
      </w:r>
    </w:p>
    <w:p>
      <w:pPr>
        <w:spacing w:before="159" w:after="4"/>
        <w:ind w:left="0" w:right="29" w:firstLine="0"/>
        <w:jc w:val="center"/>
        <w:rPr>
          <w:b w:val="0"/>
          <w:bCs/>
          <w:sz w:val="21"/>
        </w:rPr>
      </w:pPr>
      <w:r>
        <w:rPr>
          <w:b w:val="0"/>
          <w:bCs/>
          <w:sz w:val="21"/>
        </w:rPr>
        <w:t xml:space="preserve">表 </w:t>
      </w:r>
      <w:r>
        <w:rPr>
          <w:rFonts w:ascii="Times New Roman" w:eastAsia="Times New Roman"/>
          <w:b w:val="0"/>
          <w:bCs/>
          <w:sz w:val="21"/>
        </w:rPr>
        <w:t xml:space="preserve">6-1  </w:t>
      </w:r>
      <w:r>
        <w:rPr>
          <w:b w:val="0"/>
          <w:bCs/>
          <w:sz w:val="21"/>
        </w:rPr>
        <w:t>有组织废气监测内容</w:t>
      </w:r>
    </w:p>
    <w:tbl>
      <w:tblPr>
        <w:tblStyle w:val="10"/>
        <w:tblW w:w="0" w:type="auto"/>
        <w:tblInd w:w="2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1"/>
        <w:gridCol w:w="1216"/>
        <w:gridCol w:w="1601"/>
        <w:gridCol w:w="1912"/>
        <w:gridCol w:w="2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2011" w:type="dxa"/>
          </w:tcPr>
          <w:p>
            <w:pPr>
              <w:pStyle w:val="15"/>
              <w:spacing w:before="3"/>
              <w:rPr>
                <w:b/>
                <w:sz w:val="19"/>
              </w:rPr>
            </w:pPr>
          </w:p>
          <w:p>
            <w:pPr>
              <w:pStyle w:val="15"/>
              <w:ind w:left="219"/>
              <w:rPr>
                <w:b/>
                <w:sz w:val="21"/>
              </w:rPr>
            </w:pPr>
            <w:r>
              <w:rPr>
                <w:b/>
                <w:sz w:val="21"/>
              </w:rPr>
              <w:t>监测点位</w:t>
            </w:r>
          </w:p>
        </w:tc>
        <w:tc>
          <w:tcPr>
            <w:tcW w:w="1216" w:type="dxa"/>
          </w:tcPr>
          <w:p>
            <w:pPr>
              <w:pStyle w:val="15"/>
              <w:spacing w:before="3"/>
              <w:rPr>
                <w:b/>
                <w:sz w:val="19"/>
              </w:rPr>
            </w:pPr>
          </w:p>
          <w:p>
            <w:pPr>
              <w:pStyle w:val="15"/>
              <w:ind w:left="176"/>
              <w:rPr>
                <w:b/>
                <w:sz w:val="21"/>
              </w:rPr>
            </w:pPr>
            <w:r>
              <w:rPr>
                <w:b/>
                <w:sz w:val="21"/>
              </w:rPr>
              <w:t>来源</w:t>
            </w:r>
          </w:p>
        </w:tc>
        <w:tc>
          <w:tcPr>
            <w:tcW w:w="1601" w:type="dxa"/>
          </w:tcPr>
          <w:p>
            <w:pPr>
              <w:pStyle w:val="15"/>
              <w:spacing w:before="110" w:line="242" w:lineRule="auto"/>
              <w:ind w:left="299" w:right="285"/>
              <w:rPr>
                <w:b/>
                <w:sz w:val="21"/>
              </w:rPr>
            </w:pPr>
            <w:r>
              <w:rPr>
                <w:b/>
                <w:sz w:val="21"/>
              </w:rPr>
              <w:t>监测内容</w:t>
            </w:r>
          </w:p>
        </w:tc>
        <w:tc>
          <w:tcPr>
            <w:tcW w:w="1912" w:type="dxa"/>
          </w:tcPr>
          <w:p>
            <w:pPr>
              <w:pStyle w:val="15"/>
              <w:spacing w:before="110" w:line="242" w:lineRule="auto"/>
              <w:ind w:left="231" w:right="217"/>
              <w:rPr>
                <w:b/>
                <w:sz w:val="21"/>
              </w:rPr>
            </w:pPr>
            <w:r>
              <w:rPr>
                <w:b/>
                <w:sz w:val="21"/>
              </w:rPr>
              <w:t>监测频次</w:t>
            </w:r>
          </w:p>
        </w:tc>
        <w:tc>
          <w:tcPr>
            <w:tcW w:w="2278" w:type="dxa"/>
          </w:tcPr>
          <w:p>
            <w:pPr>
              <w:pStyle w:val="15"/>
              <w:spacing w:before="110" w:line="242" w:lineRule="auto"/>
              <w:ind w:left="319" w:right="305"/>
              <w:rPr>
                <w:b/>
                <w:sz w:val="21"/>
              </w:rPr>
            </w:pPr>
            <w:r>
              <w:rPr>
                <w:b/>
                <w:sz w:val="21"/>
              </w:rPr>
              <w:t>监测目的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2011" w:type="dxa"/>
            <w:vAlign w:val="center"/>
          </w:tcPr>
          <w:p>
            <w:pPr>
              <w:pStyle w:val="15"/>
              <w:jc w:val="center"/>
              <w:rPr>
                <w:b/>
                <w:sz w:val="20"/>
              </w:rPr>
            </w:pPr>
          </w:p>
          <w:p>
            <w:pPr>
              <w:pStyle w:val="15"/>
              <w:spacing w:line="242" w:lineRule="auto"/>
              <w:ind w:left="219" w:right="208"/>
              <w:jc w:val="center"/>
              <w:rPr>
                <w:rFonts w:hint="default" w:eastAsia="宋体"/>
                <w:sz w:val="21"/>
                <w:lang w:val="en-US" w:eastAsia="zh-CN"/>
              </w:rPr>
            </w:pPr>
            <w:r>
              <w:rPr>
                <w:rFonts w:hint="eastAsia"/>
                <w:sz w:val="21"/>
                <w:lang w:val="en-US" w:eastAsia="zh-CN"/>
              </w:rPr>
              <w:t>印刷车间废气排气筒</w:t>
            </w:r>
          </w:p>
        </w:tc>
        <w:tc>
          <w:tcPr>
            <w:tcW w:w="1216" w:type="dxa"/>
            <w:vAlign w:val="center"/>
          </w:tcPr>
          <w:p>
            <w:pPr>
              <w:pStyle w:val="15"/>
              <w:spacing w:line="242" w:lineRule="auto"/>
              <w:ind w:left="176" w:right="165"/>
              <w:jc w:val="center"/>
              <w:rPr>
                <w:sz w:val="21"/>
              </w:rPr>
            </w:pPr>
            <w:r>
              <w:rPr>
                <w:sz w:val="21"/>
              </w:rPr>
              <w:t>电炉烟气</w:t>
            </w:r>
          </w:p>
        </w:tc>
        <w:tc>
          <w:tcPr>
            <w:tcW w:w="1601" w:type="dxa"/>
            <w:vAlign w:val="center"/>
          </w:tcPr>
          <w:p>
            <w:pPr>
              <w:pStyle w:val="15"/>
              <w:spacing w:before="4"/>
              <w:ind w:left="48" w:right="41"/>
              <w:jc w:val="center"/>
              <w:rPr>
                <w:rFonts w:hint="eastAsia" w:ascii="Times New Roman" w:eastAsia="宋体"/>
                <w:sz w:val="21"/>
                <w:lang w:eastAsia="zh-CN"/>
              </w:rPr>
            </w:pPr>
            <w:r>
              <w:rPr>
                <w:rFonts w:hint="eastAsia"/>
                <w:sz w:val="21"/>
                <w:lang w:val="en-US" w:eastAsia="zh-CN"/>
              </w:rPr>
              <w:t>非甲烷总烃</w:t>
            </w:r>
          </w:p>
        </w:tc>
        <w:tc>
          <w:tcPr>
            <w:tcW w:w="1912" w:type="dxa"/>
            <w:vAlign w:val="center"/>
          </w:tcPr>
          <w:p>
            <w:pPr>
              <w:pStyle w:val="15"/>
              <w:spacing w:before="134" w:line="242" w:lineRule="auto"/>
              <w:ind w:left="125" w:right="115"/>
              <w:jc w:val="center"/>
              <w:rPr>
                <w:sz w:val="21"/>
              </w:rPr>
            </w:pPr>
            <w:r>
              <w:rPr>
                <w:spacing w:val="-6"/>
                <w:sz w:val="21"/>
              </w:rPr>
              <w:t>每天采</w:t>
            </w:r>
            <w:r>
              <w:rPr>
                <w:sz w:val="21"/>
              </w:rPr>
              <w:t xml:space="preserve">样 </w:t>
            </w:r>
            <w:r>
              <w:rPr>
                <w:rFonts w:hint="eastAsia" w:ascii="Times New Roman"/>
                <w:sz w:val="21"/>
                <w:lang w:val="en-US" w:eastAsia="zh-CN"/>
              </w:rPr>
              <w:t>3</w:t>
            </w:r>
            <w:r>
              <w:rPr>
                <w:spacing w:val="-6"/>
                <w:sz w:val="21"/>
              </w:rPr>
              <w:t>次，连</w:t>
            </w:r>
          </w:p>
          <w:p>
            <w:pPr>
              <w:pStyle w:val="15"/>
              <w:spacing w:before="2"/>
              <w:ind w:left="88" w:right="115"/>
              <w:jc w:val="center"/>
              <w:rPr>
                <w:sz w:val="21"/>
              </w:rPr>
            </w:pPr>
            <w:r>
              <w:rPr>
                <w:sz w:val="21"/>
              </w:rPr>
              <w:t>续监测</w:t>
            </w:r>
          </w:p>
          <w:p>
            <w:pPr>
              <w:pStyle w:val="15"/>
              <w:spacing w:before="3"/>
              <w:ind w:left="122" w:right="115"/>
              <w:jc w:val="center"/>
              <w:rPr>
                <w:sz w:val="21"/>
              </w:rPr>
            </w:pPr>
            <w:r>
              <w:rPr>
                <w:rFonts w:ascii="Times New Roman" w:eastAsia="Times New Roman"/>
                <w:sz w:val="21"/>
              </w:rPr>
              <w:t xml:space="preserve">2 </w:t>
            </w:r>
            <w:r>
              <w:rPr>
                <w:sz w:val="21"/>
              </w:rPr>
              <w:t>天</w:t>
            </w:r>
          </w:p>
        </w:tc>
        <w:tc>
          <w:tcPr>
            <w:tcW w:w="2278" w:type="dxa"/>
            <w:vAlign w:val="center"/>
          </w:tcPr>
          <w:p>
            <w:pPr>
              <w:pStyle w:val="15"/>
              <w:spacing w:line="242" w:lineRule="auto"/>
              <w:ind w:left="109" w:right="97"/>
              <w:jc w:val="center"/>
              <w:rPr>
                <w:sz w:val="21"/>
              </w:rPr>
            </w:pPr>
            <w:r>
              <w:rPr>
                <w:spacing w:val="-5"/>
                <w:sz w:val="21"/>
              </w:rPr>
              <w:t>考察</w:t>
            </w:r>
            <w:r>
              <w:rPr>
                <w:rFonts w:hint="eastAsia"/>
                <w:spacing w:val="-5"/>
                <w:sz w:val="21"/>
                <w:lang w:val="en-US" w:eastAsia="zh-CN"/>
              </w:rPr>
              <w:t>活性炭吸附装置</w:t>
            </w:r>
            <w:r>
              <w:rPr>
                <w:spacing w:val="-5"/>
                <w:sz w:val="21"/>
              </w:rPr>
              <w:t>处理后的</w:t>
            </w:r>
            <w:r>
              <w:rPr>
                <w:sz w:val="21"/>
              </w:rPr>
              <w:t>排放情况</w:t>
            </w:r>
          </w:p>
        </w:tc>
      </w:tr>
    </w:tbl>
    <w:p>
      <w:pPr>
        <w:tabs>
          <w:tab w:val="left" w:pos="752"/>
        </w:tabs>
        <w:spacing w:before="0" w:after="5"/>
        <w:ind w:left="0" w:right="30" w:firstLine="0"/>
        <w:jc w:val="center"/>
        <w:rPr>
          <w:b w:val="0"/>
          <w:bCs/>
          <w:sz w:val="21"/>
        </w:rPr>
      </w:pPr>
      <w:r>
        <w:rPr>
          <w:b w:val="0"/>
          <w:bCs/>
          <w:sz w:val="21"/>
        </w:rPr>
        <w:t>表</w:t>
      </w:r>
      <w:r>
        <w:rPr>
          <w:b w:val="0"/>
          <w:bCs/>
          <w:spacing w:val="-55"/>
          <w:sz w:val="21"/>
        </w:rPr>
        <w:t xml:space="preserve"> </w:t>
      </w:r>
      <w:r>
        <w:rPr>
          <w:rFonts w:ascii="Times New Roman" w:eastAsia="Times New Roman"/>
          <w:b w:val="0"/>
          <w:bCs/>
          <w:sz w:val="21"/>
        </w:rPr>
        <w:t>6-2</w:t>
      </w:r>
      <w:r>
        <w:rPr>
          <w:rFonts w:ascii="Times New Roman" w:eastAsia="Times New Roman"/>
          <w:b w:val="0"/>
          <w:bCs/>
          <w:sz w:val="21"/>
        </w:rPr>
        <w:tab/>
      </w:r>
      <w:r>
        <w:rPr>
          <w:b w:val="0"/>
          <w:bCs/>
          <w:sz w:val="21"/>
        </w:rPr>
        <w:t>无组织废气监测内容</w:t>
      </w:r>
    </w:p>
    <w:tbl>
      <w:tblPr>
        <w:tblStyle w:val="10"/>
        <w:tblW w:w="0" w:type="auto"/>
        <w:tblInd w:w="2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1401"/>
        <w:gridCol w:w="1399"/>
        <w:gridCol w:w="1868"/>
        <w:gridCol w:w="3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344" w:type="dxa"/>
          </w:tcPr>
          <w:p>
            <w:pPr>
              <w:pStyle w:val="15"/>
              <w:spacing w:line="269" w:lineRule="exact"/>
              <w:ind w:left="230"/>
              <w:rPr>
                <w:b/>
                <w:sz w:val="21"/>
              </w:rPr>
            </w:pPr>
            <w:r>
              <w:rPr>
                <w:b/>
                <w:sz w:val="21"/>
              </w:rPr>
              <w:t>监测</w:t>
            </w:r>
          </w:p>
          <w:p>
            <w:pPr>
              <w:pStyle w:val="15"/>
              <w:spacing w:before="2" w:line="253" w:lineRule="exact"/>
              <w:ind w:left="230"/>
              <w:rPr>
                <w:b/>
                <w:sz w:val="21"/>
              </w:rPr>
            </w:pPr>
            <w:r>
              <w:rPr>
                <w:b/>
                <w:sz w:val="21"/>
              </w:rPr>
              <w:t>点位</w:t>
            </w:r>
          </w:p>
        </w:tc>
        <w:tc>
          <w:tcPr>
            <w:tcW w:w="1401" w:type="dxa"/>
          </w:tcPr>
          <w:p>
            <w:pPr>
              <w:pStyle w:val="15"/>
              <w:spacing w:before="134"/>
              <w:ind w:left="249"/>
              <w:rPr>
                <w:b/>
                <w:sz w:val="21"/>
              </w:rPr>
            </w:pPr>
            <w:r>
              <w:rPr>
                <w:b/>
                <w:sz w:val="21"/>
              </w:rPr>
              <w:t>来源</w:t>
            </w:r>
          </w:p>
        </w:tc>
        <w:tc>
          <w:tcPr>
            <w:tcW w:w="1399" w:type="dxa"/>
          </w:tcPr>
          <w:p>
            <w:pPr>
              <w:pStyle w:val="15"/>
              <w:spacing w:line="269" w:lineRule="exact"/>
              <w:ind w:left="248"/>
              <w:rPr>
                <w:b/>
                <w:sz w:val="21"/>
              </w:rPr>
            </w:pPr>
            <w:r>
              <w:rPr>
                <w:b/>
                <w:sz w:val="21"/>
              </w:rPr>
              <w:t>监测</w:t>
            </w:r>
          </w:p>
          <w:p>
            <w:pPr>
              <w:pStyle w:val="15"/>
              <w:spacing w:before="2" w:line="253" w:lineRule="exact"/>
              <w:ind w:left="248"/>
              <w:rPr>
                <w:b/>
                <w:sz w:val="21"/>
              </w:rPr>
            </w:pPr>
            <w:r>
              <w:rPr>
                <w:b/>
                <w:sz w:val="21"/>
              </w:rPr>
              <w:t>内容</w:t>
            </w:r>
          </w:p>
        </w:tc>
        <w:tc>
          <w:tcPr>
            <w:tcW w:w="1868" w:type="dxa"/>
          </w:tcPr>
          <w:p>
            <w:pPr>
              <w:pStyle w:val="15"/>
              <w:spacing w:before="134"/>
              <w:ind w:left="192"/>
              <w:rPr>
                <w:b/>
                <w:sz w:val="21"/>
              </w:rPr>
            </w:pPr>
            <w:r>
              <w:rPr>
                <w:b/>
                <w:sz w:val="21"/>
              </w:rPr>
              <w:t>监测频次</w:t>
            </w:r>
          </w:p>
        </w:tc>
        <w:tc>
          <w:tcPr>
            <w:tcW w:w="3006" w:type="dxa"/>
          </w:tcPr>
          <w:p>
            <w:pPr>
              <w:pStyle w:val="15"/>
              <w:spacing w:before="134"/>
              <w:ind w:left="423"/>
              <w:rPr>
                <w:b/>
                <w:sz w:val="21"/>
              </w:rPr>
            </w:pPr>
            <w:r>
              <w:rPr>
                <w:b/>
                <w:sz w:val="21"/>
              </w:rPr>
              <w:t>监测目的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344" w:type="dxa"/>
          </w:tcPr>
          <w:p>
            <w:pPr>
              <w:pStyle w:val="15"/>
              <w:spacing w:before="9"/>
              <w:rPr>
                <w:b/>
                <w:sz w:val="22"/>
              </w:rPr>
            </w:pPr>
          </w:p>
          <w:p>
            <w:pPr>
              <w:pStyle w:val="15"/>
              <w:spacing w:line="242" w:lineRule="auto"/>
              <w:ind w:left="124" w:right="115" w:hanging="2"/>
              <w:jc w:val="center"/>
              <w:rPr>
                <w:sz w:val="21"/>
              </w:rPr>
            </w:pPr>
            <w:r>
              <w:rPr>
                <w:spacing w:val="-5"/>
                <w:sz w:val="21"/>
              </w:rPr>
              <w:t>项目厂</w:t>
            </w:r>
            <w:r>
              <w:rPr>
                <w:spacing w:val="-27"/>
                <w:sz w:val="21"/>
              </w:rPr>
              <w:t xml:space="preserve">界 </w:t>
            </w:r>
            <w:r>
              <w:rPr>
                <w:rFonts w:ascii="Times New Roman" w:eastAsia="Times New Roman"/>
                <w:sz w:val="21"/>
              </w:rPr>
              <w:t xml:space="preserve">4 </w:t>
            </w:r>
            <w:r>
              <w:rPr>
                <w:spacing w:val="-15"/>
                <w:sz w:val="21"/>
              </w:rPr>
              <w:t>个</w:t>
            </w:r>
            <w:r>
              <w:rPr>
                <w:sz w:val="21"/>
              </w:rPr>
              <w:t>点</w:t>
            </w:r>
          </w:p>
        </w:tc>
        <w:tc>
          <w:tcPr>
            <w:tcW w:w="1401" w:type="dxa"/>
          </w:tcPr>
          <w:p>
            <w:pPr>
              <w:pStyle w:val="15"/>
              <w:rPr>
                <w:b/>
                <w:sz w:val="20"/>
              </w:rPr>
            </w:pPr>
          </w:p>
          <w:p>
            <w:pPr>
              <w:pStyle w:val="15"/>
              <w:spacing w:before="172" w:line="242" w:lineRule="auto"/>
              <w:ind w:left="249" w:right="134" w:hanging="106"/>
              <w:rPr>
                <w:sz w:val="21"/>
              </w:rPr>
            </w:pPr>
            <w:r>
              <w:rPr>
                <w:sz w:val="21"/>
              </w:rPr>
              <w:t>生产各工序</w:t>
            </w:r>
          </w:p>
        </w:tc>
        <w:tc>
          <w:tcPr>
            <w:tcW w:w="1399" w:type="dxa"/>
          </w:tcPr>
          <w:p>
            <w:pPr>
              <w:pStyle w:val="15"/>
              <w:rPr>
                <w:b/>
                <w:sz w:val="20"/>
              </w:rPr>
            </w:pPr>
          </w:p>
          <w:p>
            <w:pPr>
              <w:pStyle w:val="15"/>
              <w:rPr>
                <w:b/>
                <w:sz w:val="24"/>
              </w:rPr>
            </w:pPr>
          </w:p>
          <w:p>
            <w:pPr>
              <w:pStyle w:val="15"/>
              <w:ind w:left="144"/>
              <w:rPr>
                <w:rFonts w:hint="default" w:eastAsia="宋体"/>
                <w:sz w:val="21"/>
                <w:lang w:val="en-US" w:eastAsia="zh-CN"/>
              </w:rPr>
            </w:pPr>
            <w:r>
              <w:rPr>
                <w:rFonts w:hint="eastAsia"/>
                <w:sz w:val="21"/>
                <w:lang w:val="en-US" w:eastAsia="zh-CN"/>
              </w:rPr>
              <w:t>非甲烷总烃</w:t>
            </w:r>
          </w:p>
        </w:tc>
        <w:tc>
          <w:tcPr>
            <w:tcW w:w="1868" w:type="dxa"/>
          </w:tcPr>
          <w:p>
            <w:pPr>
              <w:pStyle w:val="15"/>
              <w:spacing w:before="9"/>
              <w:rPr>
                <w:b/>
                <w:sz w:val="22"/>
              </w:rPr>
            </w:pPr>
          </w:p>
          <w:p>
            <w:pPr>
              <w:pStyle w:val="15"/>
              <w:spacing w:line="242" w:lineRule="auto"/>
              <w:ind w:left="108" w:right="96" w:hanging="14"/>
              <w:jc w:val="center"/>
              <w:rPr>
                <w:sz w:val="21"/>
              </w:rPr>
            </w:pPr>
            <w:r>
              <w:rPr>
                <w:spacing w:val="-11"/>
                <w:sz w:val="21"/>
              </w:rPr>
              <w:t xml:space="preserve">连续监测 </w:t>
            </w:r>
            <w:r>
              <w:rPr>
                <w:rFonts w:ascii="Times New Roman" w:eastAsia="Times New Roman"/>
                <w:sz w:val="21"/>
              </w:rPr>
              <w:t xml:space="preserve">2 </w:t>
            </w:r>
            <w:r>
              <w:rPr>
                <w:spacing w:val="-13"/>
                <w:sz w:val="21"/>
              </w:rPr>
              <w:t>天，每天采</w:t>
            </w:r>
            <w:r>
              <w:rPr>
                <w:spacing w:val="-27"/>
                <w:sz w:val="21"/>
              </w:rPr>
              <w:t xml:space="preserve">样 </w:t>
            </w:r>
            <w:r>
              <w:rPr>
                <w:rFonts w:hint="eastAsia" w:ascii="Times New Roman"/>
                <w:sz w:val="21"/>
                <w:lang w:val="en-US" w:eastAsia="zh-CN"/>
              </w:rPr>
              <w:t>3</w:t>
            </w:r>
            <w:r>
              <w:rPr>
                <w:sz w:val="21"/>
              </w:rPr>
              <w:t>次</w:t>
            </w:r>
          </w:p>
        </w:tc>
        <w:tc>
          <w:tcPr>
            <w:tcW w:w="3006" w:type="dxa"/>
          </w:tcPr>
          <w:p>
            <w:pPr>
              <w:pStyle w:val="15"/>
              <w:spacing w:before="154" w:line="242" w:lineRule="auto"/>
              <w:ind w:left="109" w:right="95"/>
              <w:jc w:val="center"/>
              <w:rPr>
                <w:sz w:val="21"/>
              </w:rPr>
            </w:pPr>
            <w:r>
              <w:rPr>
                <w:sz w:val="21"/>
              </w:rPr>
              <w:t>考察项目周界无组织废气排放情况对外环境的影响</w:t>
            </w:r>
          </w:p>
        </w:tc>
      </w:tr>
    </w:tbl>
    <w:p>
      <w:pPr>
        <w:spacing w:after="0" w:line="253" w:lineRule="exact"/>
        <w:rPr>
          <w:sz w:val="21"/>
        </w:rPr>
        <w:sectPr>
          <w:pgSz w:w="11910" w:h="16840"/>
          <w:pgMar w:top="1400" w:right="1060" w:bottom="1180" w:left="1080" w:header="0" w:footer="915" w:gutter="0"/>
          <w:pgBorders>
            <w:top w:val="none" w:sz="0" w:space="0"/>
            <w:left w:val="none" w:sz="0" w:space="0"/>
            <w:bottom w:val="none" w:sz="0" w:space="0"/>
            <w:right w:val="none" w:sz="0" w:space="0"/>
          </w:pgBorders>
          <w:cols w:space="720" w:num="1"/>
        </w:sectPr>
      </w:pPr>
    </w:p>
    <w:p>
      <w:pPr>
        <w:pStyle w:val="3"/>
        <w:numPr>
          <w:ilvl w:val="0"/>
          <w:numId w:val="4"/>
        </w:numPr>
        <w:tabs>
          <w:tab w:val="left" w:pos="1307"/>
        </w:tabs>
        <w:spacing w:before="0" w:after="0" w:line="240" w:lineRule="auto"/>
        <w:ind w:left="1306" w:right="0" w:hanging="602"/>
        <w:jc w:val="left"/>
      </w:pPr>
      <w:r>
        <w:rPr>
          <w:rFonts w:hint="eastAsia"/>
          <w:lang w:val="en-US" w:eastAsia="zh-CN"/>
        </w:rPr>
        <w:t>废水</w:t>
      </w:r>
      <w:r>
        <w:t>监测内容</w:t>
      </w:r>
    </w:p>
    <w:p>
      <w:pPr>
        <w:rPr>
          <w:rFonts w:hint="default"/>
          <w:lang w:val="en-US"/>
        </w:rPr>
      </w:pPr>
      <w:r>
        <w:rPr>
          <w:rFonts w:hint="eastAsia"/>
          <w:lang w:val="en-US" w:eastAsia="zh-CN"/>
        </w:rPr>
        <w:t xml:space="preserve"> </w:t>
      </w:r>
    </w:p>
    <w:p>
      <w:pPr>
        <w:pStyle w:val="5"/>
        <w:rPr>
          <w:b/>
          <w:sz w:val="22"/>
        </w:rPr>
      </w:pPr>
      <w:r>
        <w:br w:type="column"/>
      </w:r>
    </w:p>
    <w:p>
      <w:pPr>
        <w:tabs>
          <w:tab w:val="left" w:pos="1459"/>
        </w:tabs>
        <w:spacing w:before="185"/>
        <w:ind w:left="705" w:right="0" w:firstLine="0"/>
        <w:jc w:val="left"/>
        <w:rPr>
          <w:b/>
          <w:sz w:val="21"/>
        </w:rPr>
      </w:pPr>
      <w:r>
        <w:rPr>
          <w:rFonts w:hint="eastAsia"/>
          <w:lang w:val="en-US" w:eastAsia="zh-CN"/>
        </w:rPr>
        <w:t>表6-3 废水监测内容</w:t>
      </w:r>
    </w:p>
    <w:p>
      <w:pPr>
        <w:spacing w:after="0"/>
        <w:jc w:val="left"/>
        <w:rPr>
          <w:sz w:val="21"/>
        </w:rPr>
        <w:sectPr>
          <w:type w:val="continuous"/>
          <w:pgSz w:w="11910" w:h="16840"/>
          <w:pgMar w:top="1600" w:right="1060" w:bottom="280" w:left="1080" w:header="720" w:footer="720" w:gutter="0"/>
          <w:pgBorders>
            <w:top w:val="none" w:sz="0" w:space="0"/>
            <w:left w:val="none" w:sz="0" w:space="0"/>
            <w:bottom w:val="none" w:sz="0" w:space="0"/>
            <w:right w:val="none" w:sz="0" w:space="0"/>
          </w:pgBorders>
          <w:cols w:equalWidth="0" w:num="2">
            <w:col w:w="2793" w:space="358"/>
            <w:col w:w="6619"/>
          </w:cols>
        </w:sectPr>
      </w:pPr>
    </w:p>
    <w:tbl>
      <w:tblPr>
        <w:tblStyle w:val="10"/>
        <w:tblpPr w:leftFromText="180" w:rightFromText="180" w:vertAnchor="page" w:horzAnchor="page" w:tblpX="1534" w:tblpY="9153"/>
        <w:tblOverlap w:val="never"/>
        <w:tblW w:w="89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1382"/>
        <w:gridCol w:w="1820"/>
        <w:gridCol w:w="1577"/>
        <w:gridCol w:w="1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286" w:type="dxa"/>
          </w:tcPr>
          <w:p>
            <w:pPr>
              <w:pStyle w:val="15"/>
              <w:spacing w:before="3"/>
              <w:rPr>
                <w:b/>
                <w:sz w:val="19"/>
              </w:rPr>
            </w:pPr>
          </w:p>
          <w:p>
            <w:pPr>
              <w:pStyle w:val="15"/>
              <w:ind w:left="219"/>
              <w:rPr>
                <w:b/>
                <w:sz w:val="21"/>
              </w:rPr>
            </w:pPr>
            <w:r>
              <w:rPr>
                <w:b/>
                <w:sz w:val="21"/>
              </w:rPr>
              <w:t>监测点位</w:t>
            </w:r>
          </w:p>
        </w:tc>
        <w:tc>
          <w:tcPr>
            <w:tcW w:w="1382" w:type="dxa"/>
          </w:tcPr>
          <w:p>
            <w:pPr>
              <w:pStyle w:val="15"/>
              <w:spacing w:before="3"/>
              <w:rPr>
                <w:b/>
                <w:sz w:val="19"/>
              </w:rPr>
            </w:pPr>
          </w:p>
          <w:p>
            <w:pPr>
              <w:pStyle w:val="15"/>
              <w:ind w:left="176"/>
              <w:rPr>
                <w:b/>
                <w:sz w:val="21"/>
              </w:rPr>
            </w:pPr>
            <w:r>
              <w:rPr>
                <w:b/>
                <w:sz w:val="21"/>
              </w:rPr>
              <w:t>来源</w:t>
            </w:r>
          </w:p>
        </w:tc>
        <w:tc>
          <w:tcPr>
            <w:tcW w:w="1820" w:type="dxa"/>
          </w:tcPr>
          <w:p>
            <w:pPr>
              <w:pStyle w:val="15"/>
              <w:spacing w:before="110" w:line="242" w:lineRule="auto"/>
              <w:ind w:left="299" w:right="285"/>
              <w:rPr>
                <w:b/>
                <w:sz w:val="21"/>
              </w:rPr>
            </w:pPr>
            <w:r>
              <w:rPr>
                <w:b/>
                <w:sz w:val="21"/>
              </w:rPr>
              <w:t>监测内容</w:t>
            </w:r>
          </w:p>
        </w:tc>
        <w:tc>
          <w:tcPr>
            <w:tcW w:w="1577" w:type="dxa"/>
          </w:tcPr>
          <w:p>
            <w:pPr>
              <w:pStyle w:val="15"/>
              <w:spacing w:before="110" w:line="242" w:lineRule="auto"/>
              <w:ind w:left="231" w:right="217"/>
              <w:rPr>
                <w:b/>
                <w:sz w:val="21"/>
              </w:rPr>
            </w:pPr>
            <w:r>
              <w:rPr>
                <w:b/>
                <w:sz w:val="21"/>
              </w:rPr>
              <w:t>监测频次</w:t>
            </w:r>
          </w:p>
        </w:tc>
        <w:tc>
          <w:tcPr>
            <w:tcW w:w="1892" w:type="dxa"/>
          </w:tcPr>
          <w:p>
            <w:pPr>
              <w:pStyle w:val="15"/>
              <w:spacing w:before="110" w:line="242" w:lineRule="auto"/>
              <w:ind w:left="319" w:right="305"/>
              <w:rPr>
                <w:b/>
                <w:sz w:val="21"/>
              </w:rPr>
            </w:pPr>
            <w:r>
              <w:rPr>
                <w:b/>
                <w:sz w:val="21"/>
              </w:rPr>
              <w:t>监测目的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2286" w:type="dxa"/>
            <w:vAlign w:val="center"/>
          </w:tcPr>
          <w:p>
            <w:pPr>
              <w:pStyle w:val="15"/>
              <w:jc w:val="center"/>
              <w:rPr>
                <w:b/>
                <w:sz w:val="20"/>
              </w:rPr>
            </w:pPr>
          </w:p>
          <w:p>
            <w:pPr>
              <w:pStyle w:val="15"/>
              <w:spacing w:line="242" w:lineRule="auto"/>
              <w:ind w:left="219" w:right="208"/>
              <w:jc w:val="center"/>
              <w:rPr>
                <w:rFonts w:hint="default" w:eastAsia="宋体"/>
                <w:sz w:val="21"/>
                <w:lang w:val="en-US" w:eastAsia="zh-CN"/>
              </w:rPr>
            </w:pPr>
            <w:r>
              <w:rPr>
                <w:rFonts w:hint="eastAsia"/>
                <w:sz w:val="21"/>
                <w:lang w:val="en-US" w:eastAsia="zh-CN"/>
              </w:rPr>
              <w:t>废水排放口</w:t>
            </w:r>
          </w:p>
        </w:tc>
        <w:tc>
          <w:tcPr>
            <w:tcW w:w="1382" w:type="dxa"/>
            <w:vAlign w:val="center"/>
          </w:tcPr>
          <w:p>
            <w:pPr>
              <w:pStyle w:val="15"/>
              <w:spacing w:line="242" w:lineRule="auto"/>
              <w:ind w:left="176" w:right="165"/>
              <w:jc w:val="center"/>
              <w:rPr>
                <w:rFonts w:hint="default" w:eastAsia="宋体"/>
                <w:sz w:val="21"/>
                <w:lang w:val="en-US" w:eastAsia="zh-CN"/>
              </w:rPr>
            </w:pPr>
            <w:r>
              <w:rPr>
                <w:rFonts w:hint="eastAsia"/>
                <w:sz w:val="21"/>
                <w:lang w:val="en-US" w:eastAsia="zh-CN"/>
              </w:rPr>
              <w:t>生活污水</w:t>
            </w:r>
          </w:p>
        </w:tc>
        <w:tc>
          <w:tcPr>
            <w:tcW w:w="1820" w:type="dxa"/>
            <w:vAlign w:val="center"/>
          </w:tcPr>
          <w:p>
            <w:pPr>
              <w:pStyle w:val="15"/>
              <w:spacing w:before="4"/>
              <w:ind w:left="48" w:right="41"/>
              <w:jc w:val="center"/>
              <w:rPr>
                <w:rFonts w:hint="default" w:ascii="Times New Roman" w:eastAsia="宋体"/>
                <w:sz w:val="21"/>
                <w:lang w:val="en-US" w:eastAsia="zh-CN"/>
              </w:rPr>
            </w:pPr>
            <w:r>
              <w:rPr>
                <w:rFonts w:hint="eastAsia" w:ascii="Times New Roman"/>
                <w:sz w:val="21"/>
                <w:lang w:val="en-US" w:eastAsia="zh-CN"/>
              </w:rPr>
              <w:t>SS、COD、BOD</w:t>
            </w:r>
            <w:r>
              <w:rPr>
                <w:rFonts w:hint="eastAsia" w:ascii="Times New Roman"/>
                <w:sz w:val="21"/>
                <w:vertAlign w:val="subscript"/>
                <w:lang w:val="en-US" w:eastAsia="zh-CN"/>
              </w:rPr>
              <w:t>5</w:t>
            </w:r>
            <w:r>
              <w:rPr>
                <w:rFonts w:hint="eastAsia" w:ascii="Times New Roman"/>
                <w:sz w:val="21"/>
                <w:lang w:val="en-US" w:eastAsia="zh-CN"/>
              </w:rPr>
              <w:t>、NH</w:t>
            </w:r>
            <w:r>
              <w:rPr>
                <w:rFonts w:hint="eastAsia" w:ascii="Times New Roman"/>
                <w:sz w:val="21"/>
                <w:vertAlign w:val="subscript"/>
                <w:lang w:val="en-US" w:eastAsia="zh-CN"/>
              </w:rPr>
              <w:t>3</w:t>
            </w:r>
            <w:r>
              <w:rPr>
                <w:rFonts w:hint="eastAsia" w:ascii="Times New Roman"/>
                <w:sz w:val="21"/>
                <w:lang w:val="en-US" w:eastAsia="zh-CN"/>
              </w:rPr>
              <w:t>-N、TP</w:t>
            </w:r>
          </w:p>
        </w:tc>
        <w:tc>
          <w:tcPr>
            <w:tcW w:w="1577" w:type="dxa"/>
            <w:vAlign w:val="center"/>
          </w:tcPr>
          <w:p>
            <w:pPr>
              <w:pStyle w:val="15"/>
              <w:spacing w:before="134" w:line="242" w:lineRule="auto"/>
              <w:ind w:left="125" w:right="115"/>
              <w:jc w:val="center"/>
              <w:rPr>
                <w:sz w:val="21"/>
              </w:rPr>
            </w:pPr>
            <w:r>
              <w:rPr>
                <w:spacing w:val="-6"/>
                <w:sz w:val="21"/>
              </w:rPr>
              <w:t>每天采</w:t>
            </w:r>
            <w:r>
              <w:rPr>
                <w:sz w:val="21"/>
              </w:rPr>
              <w:t xml:space="preserve">样 </w:t>
            </w:r>
            <w:r>
              <w:rPr>
                <w:rFonts w:hint="eastAsia" w:ascii="Times New Roman"/>
                <w:sz w:val="21"/>
                <w:lang w:val="en-US" w:eastAsia="zh-CN"/>
              </w:rPr>
              <w:t>3</w:t>
            </w:r>
            <w:r>
              <w:rPr>
                <w:spacing w:val="-6"/>
                <w:sz w:val="21"/>
              </w:rPr>
              <w:t>次，连</w:t>
            </w:r>
          </w:p>
          <w:p>
            <w:pPr>
              <w:pStyle w:val="15"/>
              <w:spacing w:before="2"/>
              <w:ind w:left="88" w:right="115"/>
              <w:jc w:val="center"/>
              <w:rPr>
                <w:sz w:val="21"/>
              </w:rPr>
            </w:pPr>
            <w:r>
              <w:rPr>
                <w:sz w:val="21"/>
              </w:rPr>
              <w:t>续监测</w:t>
            </w:r>
          </w:p>
          <w:p>
            <w:pPr>
              <w:pStyle w:val="15"/>
              <w:spacing w:before="3"/>
              <w:ind w:left="122" w:right="115"/>
              <w:jc w:val="center"/>
              <w:rPr>
                <w:sz w:val="21"/>
              </w:rPr>
            </w:pPr>
            <w:r>
              <w:rPr>
                <w:rFonts w:ascii="Times New Roman" w:eastAsia="Times New Roman"/>
                <w:sz w:val="21"/>
              </w:rPr>
              <w:t xml:space="preserve">2 </w:t>
            </w:r>
            <w:r>
              <w:rPr>
                <w:sz w:val="21"/>
              </w:rPr>
              <w:t>天</w:t>
            </w:r>
          </w:p>
        </w:tc>
        <w:tc>
          <w:tcPr>
            <w:tcW w:w="1892" w:type="dxa"/>
            <w:vAlign w:val="center"/>
          </w:tcPr>
          <w:p>
            <w:pPr>
              <w:pStyle w:val="15"/>
              <w:spacing w:line="242" w:lineRule="auto"/>
              <w:ind w:left="109" w:right="97"/>
              <w:jc w:val="center"/>
              <w:rPr>
                <w:sz w:val="21"/>
              </w:rPr>
            </w:pPr>
            <w:r>
              <w:rPr>
                <w:spacing w:val="-5"/>
                <w:sz w:val="21"/>
              </w:rPr>
              <w:t>考察</w:t>
            </w:r>
            <w:r>
              <w:rPr>
                <w:rFonts w:hint="eastAsia"/>
                <w:spacing w:val="-5"/>
                <w:sz w:val="21"/>
                <w:lang w:val="en-US" w:eastAsia="zh-CN"/>
              </w:rPr>
              <w:t>污水处理站</w:t>
            </w:r>
            <w:r>
              <w:rPr>
                <w:spacing w:val="-5"/>
                <w:sz w:val="21"/>
              </w:rPr>
              <w:t>处理后的</w:t>
            </w:r>
            <w:r>
              <w:rPr>
                <w:sz w:val="21"/>
              </w:rPr>
              <w:t>排放情况</w:t>
            </w:r>
          </w:p>
        </w:tc>
      </w:tr>
    </w:tbl>
    <w:p>
      <w:pPr>
        <w:pStyle w:val="3"/>
        <w:numPr>
          <w:ilvl w:val="0"/>
          <w:numId w:val="4"/>
        </w:numPr>
        <w:tabs>
          <w:tab w:val="left" w:pos="1307"/>
        </w:tabs>
        <w:spacing w:before="4" w:after="0" w:line="240" w:lineRule="auto"/>
        <w:ind w:left="1306" w:right="0" w:hanging="602"/>
        <w:jc w:val="left"/>
      </w:pPr>
      <w:r>
        <w:pict>
          <v:group id="_x0000_s1114" o:spid="_x0000_s1114" o:spt="203" style="position:absolute;left:0pt;margin-left:59.7pt;margin-top:90.15pt;height:670.65pt;width:475.05pt;mso-position-horizontal-relative:page;mso-position-vertical-relative:page;z-index:-251643904;mso-width-relative:page;mso-height-relative:page;" coordorigin="1194,1804" coordsize="9501,13413">
            <o:lock v:ext="edit"/>
            <v:line id="_x0000_s1115" o:spid="_x0000_s1115" o:spt="20" style="position:absolute;left:1194;top:1808;height:0;width:9500;" stroked="t" coordsize="21600,21600">
              <v:path arrowok="t"/>
              <v:fill focussize="0,0"/>
              <v:stroke weight="0.48pt" color="#000000"/>
              <v:imagedata o:title=""/>
              <o:lock v:ext="edit"/>
            </v:line>
            <v:line id="_x0000_s1116" o:spid="_x0000_s1116" o:spt="20" style="position:absolute;left:1194;top:15211;height:0;width:9500;" stroked="t" coordsize="21600,21600">
              <v:path arrowok="t"/>
              <v:fill focussize="0,0"/>
              <v:stroke weight="0.48pt" color="#000000"/>
              <v:imagedata o:title=""/>
              <o:lock v:ext="edit"/>
            </v:line>
            <v:line id="_x0000_s1117" o:spid="_x0000_s1117" o:spt="20" style="position:absolute;left:1199;top:1804;height:13402;width:0;" stroked="t" coordsize="21600,21600">
              <v:path arrowok="t"/>
              <v:fill focussize="0,0"/>
              <v:stroke weight="0.48pt" color="#000000"/>
              <v:imagedata o:title=""/>
              <o:lock v:ext="edit"/>
            </v:line>
            <v:line id="_x0000_s1118" o:spid="_x0000_s1118" o:spt="20" style="position:absolute;left:10690;top:1804;height:13402;width:0;" stroked="t" coordsize="21600,21600">
              <v:path arrowok="t"/>
              <v:fill focussize="0,0"/>
              <v:stroke weight="0.48pt" color="#000000"/>
              <v:imagedata o:title=""/>
              <o:lock v:ext="edit"/>
            </v:line>
          </v:group>
        </w:pict>
      </w:r>
      <w:r>
        <w:rPr>
          <w:rFonts w:hint="eastAsia"/>
          <w:lang w:val="en-US" w:eastAsia="zh-CN"/>
        </w:rPr>
        <w:t>噪声监测内容</w:t>
      </w:r>
    </w:p>
    <w:p>
      <w:pPr>
        <w:pStyle w:val="5"/>
        <w:keepNext w:val="0"/>
        <w:keepLines w:val="0"/>
        <w:pageBreakBefore w:val="0"/>
        <w:widowControl w:val="0"/>
        <w:kinsoku/>
        <w:wordWrap/>
        <w:overflowPunct/>
        <w:topLinePunct w:val="0"/>
        <w:autoSpaceDE w:val="0"/>
        <w:autoSpaceDN w:val="0"/>
        <w:bidi w:val="0"/>
        <w:adjustRightInd/>
        <w:snapToGrid/>
        <w:spacing w:before="0" w:line="240" w:lineRule="auto"/>
        <w:ind w:left="227" w:right="136" w:firstLine="482"/>
        <w:jc w:val="center"/>
        <w:textAlignment w:val="auto"/>
        <w:rPr>
          <w:b w:val="0"/>
          <w:bCs/>
        </w:rPr>
      </w:pPr>
      <w:r>
        <w:rPr>
          <w:b w:val="0"/>
          <w:bCs/>
          <w:sz w:val="21"/>
        </w:rPr>
        <w:t>表</w:t>
      </w:r>
      <w:r>
        <w:rPr>
          <w:b w:val="0"/>
          <w:bCs/>
          <w:spacing w:val="-55"/>
          <w:sz w:val="21"/>
        </w:rPr>
        <w:t xml:space="preserve"> </w:t>
      </w:r>
      <w:r>
        <w:rPr>
          <w:rFonts w:ascii="Times New Roman" w:eastAsia="Times New Roman"/>
          <w:b w:val="0"/>
          <w:bCs/>
          <w:sz w:val="21"/>
        </w:rPr>
        <w:t>6-</w:t>
      </w:r>
      <w:r>
        <w:rPr>
          <w:rFonts w:hint="eastAsia" w:ascii="Times New Roman"/>
          <w:b w:val="0"/>
          <w:bCs/>
          <w:sz w:val="21"/>
          <w:lang w:val="en-US" w:eastAsia="zh-CN"/>
        </w:rPr>
        <w:t>4</w:t>
      </w:r>
      <w:r>
        <w:rPr>
          <w:rFonts w:ascii="Times New Roman" w:eastAsia="Times New Roman"/>
          <w:b w:val="0"/>
          <w:bCs/>
          <w:sz w:val="21"/>
        </w:rPr>
        <w:tab/>
      </w:r>
      <w:r>
        <w:rPr>
          <w:b w:val="0"/>
          <w:bCs/>
          <w:sz w:val="21"/>
        </w:rPr>
        <w:t>噪声监测内容</w:t>
      </w:r>
    </w:p>
    <w:tbl>
      <w:tblPr>
        <w:tblStyle w:val="10"/>
        <w:tblpPr w:leftFromText="180" w:rightFromText="180" w:vertAnchor="page" w:horzAnchor="page" w:tblpX="1567" w:tblpY="1183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4"/>
        <w:gridCol w:w="1018"/>
        <w:gridCol w:w="2098"/>
        <w:gridCol w:w="1143"/>
        <w:gridCol w:w="2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14" w:type="dxa"/>
            <w:vAlign w:val="top"/>
          </w:tcPr>
          <w:p>
            <w:pPr>
              <w:pStyle w:val="15"/>
              <w:spacing w:before="133"/>
              <w:ind w:left="225"/>
              <w:rPr>
                <w:b/>
                <w:sz w:val="21"/>
              </w:rPr>
            </w:pPr>
            <w:r>
              <w:rPr>
                <w:b/>
                <w:sz w:val="21"/>
              </w:rPr>
              <w:t>监测点位</w:t>
            </w:r>
          </w:p>
        </w:tc>
        <w:tc>
          <w:tcPr>
            <w:tcW w:w="1018" w:type="dxa"/>
            <w:vAlign w:val="top"/>
          </w:tcPr>
          <w:p>
            <w:pPr>
              <w:pStyle w:val="15"/>
              <w:spacing w:before="133"/>
              <w:ind w:left="174"/>
              <w:rPr>
                <w:b/>
                <w:sz w:val="21"/>
              </w:rPr>
            </w:pPr>
            <w:r>
              <w:rPr>
                <w:b/>
                <w:sz w:val="21"/>
              </w:rPr>
              <w:t>来源</w:t>
            </w:r>
          </w:p>
        </w:tc>
        <w:tc>
          <w:tcPr>
            <w:tcW w:w="2098" w:type="dxa"/>
            <w:vAlign w:val="top"/>
          </w:tcPr>
          <w:p>
            <w:pPr>
              <w:pStyle w:val="15"/>
              <w:spacing w:before="133"/>
              <w:ind w:left="370" w:leftChars="0" w:right="0" w:rightChars="0"/>
              <w:rPr>
                <w:rFonts w:ascii="宋体" w:hAnsi="宋体" w:eastAsia="宋体" w:cs="宋体"/>
                <w:b/>
                <w:sz w:val="21"/>
                <w:szCs w:val="22"/>
                <w:lang w:val="zh-CN" w:eastAsia="zh-CN" w:bidi="zh-CN"/>
              </w:rPr>
            </w:pPr>
            <w:r>
              <w:rPr>
                <w:b/>
                <w:sz w:val="21"/>
              </w:rPr>
              <w:t>监测频次</w:t>
            </w:r>
          </w:p>
        </w:tc>
        <w:tc>
          <w:tcPr>
            <w:tcW w:w="1143" w:type="dxa"/>
            <w:vAlign w:val="top"/>
          </w:tcPr>
          <w:p>
            <w:pPr>
              <w:pStyle w:val="15"/>
              <w:spacing w:line="268" w:lineRule="exact"/>
              <w:ind w:left="219"/>
              <w:rPr>
                <w:b/>
                <w:sz w:val="21"/>
              </w:rPr>
            </w:pPr>
            <w:r>
              <w:rPr>
                <w:b/>
                <w:sz w:val="21"/>
              </w:rPr>
              <w:t>监测</w:t>
            </w:r>
          </w:p>
          <w:p>
            <w:pPr>
              <w:pStyle w:val="15"/>
              <w:spacing w:before="2" w:line="253" w:lineRule="exact"/>
              <w:ind w:left="219"/>
              <w:rPr>
                <w:b/>
                <w:sz w:val="21"/>
              </w:rPr>
            </w:pPr>
            <w:r>
              <w:rPr>
                <w:b/>
                <w:sz w:val="21"/>
              </w:rPr>
              <w:t>内容</w:t>
            </w:r>
          </w:p>
        </w:tc>
        <w:tc>
          <w:tcPr>
            <w:tcW w:w="2944" w:type="dxa"/>
            <w:vAlign w:val="top"/>
          </w:tcPr>
          <w:p>
            <w:pPr>
              <w:pStyle w:val="15"/>
              <w:spacing w:before="133"/>
              <w:ind w:left="688"/>
              <w:rPr>
                <w:b/>
                <w:sz w:val="21"/>
              </w:rPr>
            </w:pPr>
            <w:r>
              <w:rPr>
                <w:b/>
                <w:sz w:val="21"/>
              </w:rPr>
              <w:t>监测目的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714" w:type="dxa"/>
            <w:vAlign w:val="top"/>
          </w:tcPr>
          <w:p>
            <w:pPr>
              <w:pStyle w:val="15"/>
              <w:spacing w:before="135" w:line="242" w:lineRule="auto"/>
              <w:ind w:left="106" w:right="-15"/>
              <w:jc w:val="center"/>
              <w:rPr>
                <w:rFonts w:ascii="Times New Roman" w:eastAsia="Times New Roman"/>
                <w:sz w:val="21"/>
              </w:rPr>
            </w:pPr>
            <w:r>
              <w:rPr>
                <w:spacing w:val="-16"/>
                <w:sz w:val="21"/>
              </w:rPr>
              <w:t>项目东、南、</w:t>
            </w:r>
            <w:r>
              <w:rPr>
                <w:sz w:val="21"/>
              </w:rPr>
              <w:t>西、北厂界</w:t>
            </w:r>
            <w:r>
              <w:rPr>
                <w:spacing w:val="-27"/>
                <w:sz w:val="21"/>
              </w:rPr>
              <w:t xml:space="preserve">外 </w:t>
            </w:r>
            <w:r>
              <w:rPr>
                <w:rFonts w:ascii="Times New Roman" w:eastAsia="Times New Roman"/>
                <w:sz w:val="21"/>
              </w:rPr>
              <w:t>1m</w:t>
            </w:r>
          </w:p>
        </w:tc>
        <w:tc>
          <w:tcPr>
            <w:tcW w:w="1018" w:type="dxa"/>
            <w:vAlign w:val="top"/>
          </w:tcPr>
          <w:p>
            <w:pPr>
              <w:pStyle w:val="15"/>
              <w:spacing w:before="135" w:line="242" w:lineRule="auto"/>
              <w:ind w:left="174" w:right="161"/>
              <w:jc w:val="both"/>
              <w:rPr>
                <w:sz w:val="21"/>
              </w:rPr>
            </w:pPr>
            <w:r>
              <w:rPr>
                <w:sz w:val="21"/>
              </w:rPr>
              <w:t>生产各工序</w:t>
            </w:r>
          </w:p>
        </w:tc>
        <w:tc>
          <w:tcPr>
            <w:tcW w:w="2098" w:type="dxa"/>
            <w:vAlign w:val="top"/>
          </w:tcPr>
          <w:p>
            <w:pPr>
              <w:pStyle w:val="15"/>
              <w:spacing w:before="135" w:line="242" w:lineRule="auto"/>
              <w:ind w:left="106" w:leftChars="0" w:right="96" w:rightChars="0" w:hanging="2" w:firstLineChars="0"/>
              <w:jc w:val="center"/>
              <w:rPr>
                <w:rFonts w:ascii="宋体" w:hAnsi="宋体" w:eastAsia="宋体" w:cs="宋体"/>
                <w:sz w:val="21"/>
                <w:szCs w:val="22"/>
                <w:lang w:val="zh-CN" w:eastAsia="zh-CN" w:bidi="zh-CN"/>
              </w:rPr>
            </w:pPr>
            <w:r>
              <w:rPr>
                <w:rFonts w:ascii="Times New Roman" w:eastAsia="Times New Roman"/>
                <w:sz w:val="21"/>
              </w:rPr>
              <w:t xml:space="preserve">2 </w:t>
            </w:r>
            <w:r>
              <w:rPr>
                <w:sz w:val="21"/>
              </w:rPr>
              <w:t>次</w:t>
            </w:r>
            <w:r>
              <w:rPr>
                <w:rFonts w:ascii="Times New Roman" w:eastAsia="Times New Roman"/>
                <w:sz w:val="21"/>
              </w:rPr>
              <w:t>/</w:t>
            </w:r>
            <w:r>
              <w:rPr>
                <w:sz w:val="21"/>
              </w:rPr>
              <w:t>天（昼、夜各一次</w:t>
            </w:r>
            <w:r>
              <w:rPr>
                <w:spacing w:val="-52"/>
                <w:sz w:val="21"/>
              </w:rPr>
              <w:t>）</w:t>
            </w:r>
            <w:r>
              <w:rPr>
                <w:spacing w:val="-35"/>
                <w:sz w:val="21"/>
              </w:rPr>
              <w:t>、监</w:t>
            </w:r>
            <w:r>
              <w:rPr>
                <w:spacing w:val="-27"/>
                <w:sz w:val="21"/>
              </w:rPr>
              <w:t xml:space="preserve">测 </w:t>
            </w:r>
            <w:r>
              <w:rPr>
                <w:rFonts w:ascii="Times New Roman" w:eastAsia="Times New Roman"/>
                <w:sz w:val="21"/>
              </w:rPr>
              <w:t xml:space="preserve">2 </w:t>
            </w:r>
            <w:r>
              <w:rPr>
                <w:sz w:val="21"/>
              </w:rPr>
              <w:t>天</w:t>
            </w:r>
          </w:p>
        </w:tc>
        <w:tc>
          <w:tcPr>
            <w:tcW w:w="1143" w:type="dxa"/>
            <w:vAlign w:val="top"/>
          </w:tcPr>
          <w:p>
            <w:pPr>
              <w:pStyle w:val="15"/>
              <w:spacing w:line="242" w:lineRule="auto"/>
              <w:ind w:left="115" w:right="104" w:firstLine="104"/>
              <w:jc w:val="both"/>
              <w:rPr>
                <w:sz w:val="21"/>
              </w:rPr>
            </w:pPr>
            <w:r>
              <w:rPr>
                <w:sz w:val="21"/>
              </w:rPr>
              <w:t>厂界昼间</w:t>
            </w:r>
            <w:r>
              <w:rPr>
                <w:rFonts w:ascii="Times New Roman" w:eastAsia="Times New Roman"/>
                <w:sz w:val="21"/>
              </w:rPr>
              <w:t xml:space="preserve">/ </w:t>
            </w:r>
            <w:r>
              <w:rPr>
                <w:sz w:val="21"/>
              </w:rPr>
              <w:t>夜间噪声</w:t>
            </w:r>
          </w:p>
        </w:tc>
        <w:tc>
          <w:tcPr>
            <w:tcW w:w="2944" w:type="dxa"/>
            <w:vAlign w:val="top"/>
          </w:tcPr>
          <w:p>
            <w:pPr>
              <w:pStyle w:val="15"/>
              <w:spacing w:before="135" w:line="242" w:lineRule="auto"/>
              <w:ind w:left="162" w:right="154"/>
              <w:jc w:val="center"/>
              <w:rPr>
                <w:sz w:val="21"/>
              </w:rPr>
            </w:pPr>
            <w:r>
              <w:rPr>
                <w:sz w:val="21"/>
              </w:rPr>
              <w:t>考察项目运营期间产生的噪声对外环境的影响</w:t>
            </w:r>
          </w:p>
        </w:tc>
      </w:tr>
    </w:tbl>
    <w:p>
      <w:pPr>
        <w:spacing w:after="0" w:line="364" w:lineRule="auto"/>
        <w:jc w:val="both"/>
        <w:sectPr>
          <w:type w:val="continuous"/>
          <w:pgSz w:w="11910" w:h="16840"/>
          <w:pgMar w:top="1600" w:right="1060" w:bottom="280" w:left="1080" w:header="720" w:footer="720" w:gutter="0"/>
          <w:pgBorders>
            <w:top w:val="none" w:sz="0" w:space="0"/>
            <w:left w:val="none" w:sz="0" w:space="0"/>
            <w:bottom w:val="none" w:sz="0" w:space="0"/>
            <w:right w:val="none" w:sz="0" w:space="0"/>
          </w:pgBorders>
          <w:cols w:space="720" w:num="1"/>
        </w:sectPr>
      </w:pPr>
    </w:p>
    <w:p>
      <w:pPr>
        <w:pStyle w:val="2"/>
        <w:tabs>
          <w:tab w:val="left" w:pos="1629"/>
        </w:tabs>
        <w:spacing w:after="3"/>
        <w:ind w:left="718"/>
      </w:pPr>
      <w:bookmarkStart w:id="9" w:name="_TOC_250001"/>
      <w:r>
        <w:t>表</w:t>
      </w:r>
      <w:r>
        <w:rPr>
          <w:spacing w:val="-71"/>
        </w:rPr>
        <w:t xml:space="preserve"> </w:t>
      </w:r>
      <w:r>
        <w:rPr>
          <w:rFonts w:ascii="Times New Roman" w:eastAsia="Times New Roman"/>
        </w:rPr>
        <w:t>7</w:t>
      </w:r>
      <w:r>
        <w:rPr>
          <w:rFonts w:ascii="Times New Roman" w:eastAsia="Times New Roman"/>
        </w:rPr>
        <w:tab/>
      </w:r>
      <w:bookmarkEnd w:id="9"/>
      <w:r>
        <w:t>验收监测结果</w:t>
      </w:r>
    </w:p>
    <w:tbl>
      <w:tblPr>
        <w:tblStyle w:val="1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62" w:hRule="atLeast"/>
        </w:trPr>
        <w:tc>
          <w:tcPr>
            <w:tcW w:w="5000" w:type="pct"/>
          </w:tcPr>
          <w:p>
            <w:pPr>
              <w:pStyle w:val="15"/>
              <w:spacing w:before="1"/>
              <w:ind w:left="107"/>
              <w:rPr>
                <w:b/>
                <w:sz w:val="24"/>
              </w:rPr>
            </w:pPr>
            <w:r>
              <w:rPr>
                <w:b/>
                <w:sz w:val="24"/>
              </w:rPr>
              <w:t>一、验收监测期间生产工况记录：</w:t>
            </w:r>
          </w:p>
          <w:p>
            <w:pPr>
              <w:pStyle w:val="15"/>
              <w:spacing w:before="158" w:line="364" w:lineRule="auto"/>
              <w:ind w:left="107" w:right="-29" w:firstLine="480"/>
              <w:jc w:val="both"/>
              <w:rPr>
                <w:sz w:val="24"/>
              </w:rPr>
            </w:pPr>
            <w:r>
              <w:rPr>
                <w:sz w:val="24"/>
              </w:rPr>
              <w:t>根据国家环保总局《关于建设项目环境保护设施竣工验收监测管理有关问题的通知》</w:t>
            </w:r>
            <w:r>
              <w:rPr>
                <w:spacing w:val="-16"/>
                <w:sz w:val="24"/>
              </w:rPr>
              <w:t xml:space="preserve">的要求，监测时工况稳定、生产负荷必须达 </w:t>
            </w:r>
            <w:r>
              <w:rPr>
                <w:rFonts w:ascii="Times New Roman" w:eastAsia="Times New Roman"/>
                <w:sz w:val="24"/>
              </w:rPr>
              <w:t>75%</w:t>
            </w:r>
            <w:r>
              <w:rPr>
                <w:spacing w:val="-10"/>
                <w:sz w:val="24"/>
              </w:rPr>
              <w:t xml:space="preserve">以上、环境保护设施运行正常下进行监测， </w:t>
            </w:r>
            <w:r>
              <w:rPr>
                <w:sz w:val="24"/>
              </w:rPr>
              <w:t>以保证数据的真实、可靠性。</w:t>
            </w:r>
          </w:p>
          <w:p>
            <w:pPr>
              <w:pStyle w:val="15"/>
              <w:spacing w:line="364" w:lineRule="auto"/>
              <w:ind w:left="107" w:right="64" w:firstLine="480"/>
              <w:jc w:val="both"/>
              <w:rPr>
                <w:spacing w:val="-5"/>
                <w:sz w:val="24"/>
              </w:rPr>
            </w:pPr>
            <w:r>
              <w:rPr>
                <w:spacing w:val="-6"/>
                <w:sz w:val="24"/>
              </w:rPr>
              <w:t xml:space="preserve">本次验收监测时间为 </w:t>
            </w:r>
            <w:r>
              <w:rPr>
                <w:rFonts w:ascii="Times New Roman" w:eastAsia="Times New Roman"/>
                <w:sz w:val="24"/>
              </w:rPr>
              <w:t>2021 年</w:t>
            </w:r>
            <w:r>
              <w:rPr>
                <w:rFonts w:hint="eastAsia" w:ascii="Times New Roman" w:eastAsia="Times New Roman"/>
                <w:sz w:val="24"/>
                <w:lang w:val="en-US" w:eastAsia="zh-CN"/>
              </w:rPr>
              <w:t>12</w:t>
            </w:r>
            <w:r>
              <w:rPr>
                <w:rFonts w:ascii="Times New Roman" w:eastAsia="Times New Roman"/>
                <w:sz w:val="24"/>
              </w:rPr>
              <w:t xml:space="preserve"> 月 </w:t>
            </w:r>
            <w:r>
              <w:rPr>
                <w:rFonts w:hint="eastAsia" w:ascii="Times New Roman" w:eastAsia="Times New Roman"/>
                <w:sz w:val="24"/>
                <w:lang w:val="en-US" w:eastAsia="zh-CN"/>
              </w:rPr>
              <w:t>06</w:t>
            </w:r>
            <w:r>
              <w:rPr>
                <w:rFonts w:ascii="Times New Roman" w:eastAsia="Times New Roman"/>
                <w:sz w:val="24"/>
              </w:rPr>
              <w:t>-</w:t>
            </w:r>
            <w:r>
              <w:rPr>
                <w:rFonts w:hint="eastAsia" w:ascii="Times New Roman" w:eastAsia="Times New Roman"/>
                <w:sz w:val="24"/>
                <w:lang w:val="en-US" w:eastAsia="zh-CN"/>
              </w:rPr>
              <w:t>07</w:t>
            </w:r>
            <w:r>
              <w:rPr>
                <w:rFonts w:ascii="Times New Roman" w:eastAsia="Times New Roman"/>
                <w:sz w:val="24"/>
              </w:rPr>
              <w:t xml:space="preserve"> 日</w:t>
            </w:r>
            <w:r>
              <w:rPr>
                <w:spacing w:val="-1"/>
                <w:sz w:val="24"/>
              </w:rPr>
              <w:t xml:space="preserve">。经现场调查发现，项目验收检测期间， </w:t>
            </w:r>
            <w:r>
              <w:rPr>
                <w:spacing w:val="-5"/>
                <w:sz w:val="24"/>
              </w:rPr>
              <w:t>主体设施和配套工程已建设完成，环保设施运行正常，工况稳定，达到验收条件，具体工况见下表。</w:t>
            </w:r>
          </w:p>
          <w:p>
            <w:pPr>
              <w:pStyle w:val="15"/>
              <w:spacing w:line="267" w:lineRule="exact"/>
              <w:ind w:left="3743"/>
              <w:jc w:val="both"/>
              <w:rPr>
                <w:b w:val="0"/>
                <w:bCs/>
                <w:sz w:val="21"/>
              </w:rPr>
            </w:pPr>
            <w:r>
              <w:rPr>
                <w:b w:val="0"/>
                <w:bCs/>
                <w:sz w:val="21"/>
              </w:rPr>
              <w:t xml:space="preserve">表 </w:t>
            </w:r>
            <w:r>
              <w:rPr>
                <w:rFonts w:ascii="Times New Roman" w:eastAsia="Times New Roman"/>
                <w:b w:val="0"/>
                <w:bCs/>
                <w:sz w:val="21"/>
              </w:rPr>
              <w:t xml:space="preserve">7-1  </w:t>
            </w:r>
            <w:r>
              <w:rPr>
                <w:b w:val="0"/>
                <w:bCs/>
                <w:sz w:val="21"/>
              </w:rPr>
              <w:t>生产工况情况说明</w:t>
            </w:r>
          </w:p>
          <w:tbl>
            <w:tblPr>
              <w:tblStyle w:val="10"/>
              <w:tblpPr w:leftFromText="180" w:rightFromText="180" w:vertAnchor="text" w:horzAnchor="page" w:tblpX="106" w:tblpY="13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19"/>
              <w:gridCol w:w="2281"/>
              <w:gridCol w:w="2379"/>
              <w:gridCol w:w="2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219" w:type="dxa"/>
                  <w:vAlign w:val="top"/>
                </w:tcPr>
                <w:p>
                  <w:pPr>
                    <w:pStyle w:val="15"/>
                    <w:spacing w:before="75"/>
                    <w:ind w:left="162" w:right="154"/>
                    <w:jc w:val="center"/>
                    <w:rPr>
                      <w:sz w:val="21"/>
                    </w:rPr>
                  </w:pPr>
                  <w:r>
                    <w:rPr>
                      <w:sz w:val="21"/>
                    </w:rPr>
                    <w:t>检测时间</w:t>
                  </w:r>
                </w:p>
              </w:tc>
              <w:tc>
                <w:tcPr>
                  <w:tcW w:w="2281" w:type="dxa"/>
                  <w:vAlign w:val="top"/>
                </w:tcPr>
                <w:p>
                  <w:pPr>
                    <w:pStyle w:val="15"/>
                    <w:spacing w:before="75"/>
                    <w:ind w:left="509"/>
                    <w:rPr>
                      <w:sz w:val="21"/>
                    </w:rPr>
                  </w:pPr>
                  <w:r>
                    <w:rPr>
                      <w:sz w:val="21"/>
                    </w:rPr>
                    <w:t>设计生产能力</w:t>
                  </w:r>
                </w:p>
              </w:tc>
              <w:tc>
                <w:tcPr>
                  <w:tcW w:w="2379" w:type="dxa"/>
                  <w:vAlign w:val="top"/>
                </w:tcPr>
                <w:p>
                  <w:pPr>
                    <w:pStyle w:val="15"/>
                    <w:spacing w:before="75"/>
                    <w:ind w:left="328" w:right="320"/>
                    <w:jc w:val="center"/>
                    <w:rPr>
                      <w:sz w:val="21"/>
                    </w:rPr>
                  </w:pPr>
                  <w:r>
                    <w:rPr>
                      <w:sz w:val="21"/>
                    </w:rPr>
                    <w:t>检测期间生产能力</w:t>
                  </w:r>
                </w:p>
              </w:tc>
              <w:tc>
                <w:tcPr>
                  <w:tcW w:w="2378" w:type="dxa"/>
                  <w:vAlign w:val="top"/>
                </w:tcPr>
                <w:p>
                  <w:pPr>
                    <w:pStyle w:val="15"/>
                    <w:spacing w:before="75"/>
                    <w:ind w:left="748" w:right="740"/>
                    <w:jc w:val="center"/>
                    <w:rPr>
                      <w:sz w:val="21"/>
                    </w:rPr>
                  </w:pPr>
                  <w:r>
                    <w:rPr>
                      <w:sz w:val="21"/>
                    </w:rPr>
                    <w:t>生产工况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2219" w:type="dxa"/>
                  <w:vAlign w:val="top"/>
                </w:tcPr>
                <w:p>
                  <w:pPr>
                    <w:pStyle w:val="15"/>
                    <w:spacing w:before="102"/>
                    <w:ind w:left="162" w:right="152"/>
                    <w:jc w:val="center"/>
                    <w:rPr>
                      <w:sz w:val="21"/>
                    </w:rPr>
                  </w:pPr>
                  <w:r>
                    <w:rPr>
                      <w:rFonts w:ascii="Times New Roman" w:eastAsia="Times New Roman"/>
                      <w:sz w:val="21"/>
                    </w:rPr>
                    <w:t xml:space="preserve">2021 </w:t>
                  </w:r>
                  <w:r>
                    <w:rPr>
                      <w:sz w:val="21"/>
                    </w:rPr>
                    <w:t xml:space="preserve">年 </w:t>
                  </w:r>
                  <w:r>
                    <w:rPr>
                      <w:rFonts w:ascii="Times New Roman" w:eastAsia="Times New Roman"/>
                      <w:sz w:val="21"/>
                    </w:rPr>
                    <w:t>1</w:t>
                  </w:r>
                  <w:r>
                    <w:rPr>
                      <w:rFonts w:hint="eastAsia" w:ascii="Times New Roman"/>
                      <w:sz w:val="21"/>
                      <w:lang w:val="en-US" w:eastAsia="zh-CN"/>
                    </w:rPr>
                    <w:t>2</w:t>
                  </w:r>
                  <w:r>
                    <w:rPr>
                      <w:rFonts w:ascii="Times New Roman" w:eastAsia="Times New Roman"/>
                      <w:sz w:val="21"/>
                    </w:rPr>
                    <w:t xml:space="preserve"> </w:t>
                  </w:r>
                  <w:r>
                    <w:rPr>
                      <w:sz w:val="21"/>
                    </w:rPr>
                    <w:t xml:space="preserve">月 </w:t>
                  </w:r>
                  <w:r>
                    <w:rPr>
                      <w:rFonts w:hint="eastAsia" w:ascii="Times New Roman"/>
                      <w:sz w:val="21"/>
                      <w:lang w:val="en-US" w:eastAsia="zh-CN"/>
                    </w:rPr>
                    <w:t>06</w:t>
                  </w:r>
                  <w:r>
                    <w:rPr>
                      <w:rFonts w:ascii="Times New Roman" w:eastAsia="Times New Roman"/>
                      <w:sz w:val="21"/>
                    </w:rPr>
                    <w:t xml:space="preserve"> </w:t>
                  </w:r>
                  <w:r>
                    <w:rPr>
                      <w:sz w:val="21"/>
                    </w:rPr>
                    <w:t>日</w:t>
                  </w:r>
                </w:p>
              </w:tc>
              <w:tc>
                <w:tcPr>
                  <w:tcW w:w="2281" w:type="dxa"/>
                  <w:vMerge w:val="restart"/>
                  <w:vAlign w:val="top"/>
                </w:tcPr>
                <w:p>
                  <w:pPr>
                    <w:pStyle w:val="15"/>
                    <w:spacing w:before="4"/>
                    <w:rPr>
                      <w:b/>
                      <w:sz w:val="28"/>
                    </w:rPr>
                  </w:pPr>
                </w:p>
                <w:p>
                  <w:pPr>
                    <w:pStyle w:val="15"/>
                    <w:ind w:left="826" w:right="-4549" w:rightChars="0"/>
                    <w:jc w:val="left"/>
                    <w:rPr>
                      <w:rFonts w:hint="default" w:ascii="Times New Roman" w:eastAsia="宋体"/>
                      <w:sz w:val="21"/>
                      <w:vertAlign w:val="superscript"/>
                      <w:lang w:val="en-US" w:eastAsia="zh-CN"/>
                    </w:rPr>
                  </w:pPr>
                  <w:r>
                    <w:rPr>
                      <w:rFonts w:hint="eastAsia" w:ascii="Times New Roman"/>
                      <w:sz w:val="21"/>
                      <w:lang w:val="en-US" w:eastAsia="zh-CN"/>
                    </w:rPr>
                    <w:t>1.11万m</w:t>
                  </w:r>
                  <w:r>
                    <w:rPr>
                      <w:rFonts w:hint="eastAsia" w:ascii="Times New Roman"/>
                      <w:sz w:val="21"/>
                      <w:vertAlign w:val="superscript"/>
                      <w:lang w:val="en-US" w:eastAsia="zh-CN"/>
                    </w:rPr>
                    <w:t>2</w:t>
                  </w:r>
                  <w:r>
                    <w:rPr>
                      <w:rFonts w:hint="eastAsia" w:ascii="Times New Roman"/>
                      <w:sz w:val="21"/>
                      <w:lang w:val="en-US" w:eastAsia="zh-CN"/>
                    </w:rPr>
                    <w:t>/</w:t>
                  </w:r>
                  <w:r>
                    <w:rPr>
                      <w:rFonts w:hint="eastAsia" w:ascii="Times New Roman"/>
                      <w:sz w:val="21"/>
                      <w:vertAlign w:val="baseline"/>
                      <w:lang w:val="en-US" w:eastAsia="zh-CN"/>
                    </w:rPr>
                    <w:t>d</w:t>
                  </w:r>
                </w:p>
              </w:tc>
              <w:tc>
                <w:tcPr>
                  <w:tcW w:w="2379" w:type="dxa"/>
                  <w:vAlign w:val="top"/>
                </w:tcPr>
                <w:p>
                  <w:pPr>
                    <w:pStyle w:val="15"/>
                    <w:spacing w:before="115"/>
                    <w:ind w:left="328" w:right="318"/>
                    <w:jc w:val="center"/>
                    <w:rPr>
                      <w:rFonts w:hint="default" w:ascii="Times New Roman" w:eastAsia="宋体"/>
                      <w:sz w:val="21"/>
                      <w:lang w:val="en-US" w:eastAsia="zh-CN"/>
                    </w:rPr>
                  </w:pPr>
                  <w:r>
                    <w:rPr>
                      <w:rFonts w:hint="eastAsia" w:ascii="Times New Roman"/>
                      <w:sz w:val="21"/>
                      <w:lang w:val="en-US" w:eastAsia="zh-CN"/>
                    </w:rPr>
                    <w:t>1.11万m</w:t>
                  </w:r>
                  <w:r>
                    <w:rPr>
                      <w:rFonts w:hint="eastAsia" w:ascii="Times New Roman"/>
                      <w:sz w:val="21"/>
                      <w:vertAlign w:val="superscript"/>
                      <w:lang w:val="en-US" w:eastAsia="zh-CN"/>
                    </w:rPr>
                    <w:t>2</w:t>
                  </w:r>
                  <w:r>
                    <w:rPr>
                      <w:rFonts w:hint="eastAsia" w:ascii="Times New Roman"/>
                      <w:sz w:val="21"/>
                      <w:lang w:val="en-US" w:eastAsia="zh-CN"/>
                    </w:rPr>
                    <w:t>/</w:t>
                  </w:r>
                  <w:r>
                    <w:rPr>
                      <w:rFonts w:hint="eastAsia" w:ascii="Times New Roman"/>
                      <w:sz w:val="21"/>
                      <w:vertAlign w:val="baseline"/>
                      <w:lang w:val="en-US" w:eastAsia="zh-CN"/>
                    </w:rPr>
                    <w:t>d</w:t>
                  </w:r>
                </w:p>
              </w:tc>
              <w:tc>
                <w:tcPr>
                  <w:tcW w:w="2378" w:type="dxa"/>
                  <w:vAlign w:val="top"/>
                </w:tcPr>
                <w:p>
                  <w:pPr>
                    <w:pStyle w:val="15"/>
                    <w:spacing w:before="115"/>
                    <w:ind w:left="748" w:right="735"/>
                    <w:jc w:val="center"/>
                    <w:rPr>
                      <w:rFonts w:hint="default" w:ascii="Times New Roman" w:eastAsia="宋体"/>
                      <w:sz w:val="21"/>
                      <w:lang w:val="en-US" w:eastAsia="zh-CN"/>
                    </w:rPr>
                  </w:pPr>
                  <w:r>
                    <w:rPr>
                      <w:rFonts w:hint="eastAsia" w:ascii="Times New Roman"/>
                      <w:sz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219" w:type="dxa"/>
                  <w:vAlign w:val="top"/>
                </w:tcPr>
                <w:p>
                  <w:pPr>
                    <w:pStyle w:val="15"/>
                    <w:spacing w:before="105"/>
                    <w:ind w:left="162" w:right="152"/>
                    <w:jc w:val="center"/>
                    <w:rPr>
                      <w:sz w:val="21"/>
                    </w:rPr>
                  </w:pPr>
                  <w:r>
                    <w:rPr>
                      <w:rFonts w:ascii="Times New Roman" w:eastAsia="Times New Roman"/>
                      <w:sz w:val="21"/>
                    </w:rPr>
                    <w:t xml:space="preserve">2021 </w:t>
                  </w:r>
                  <w:r>
                    <w:rPr>
                      <w:sz w:val="21"/>
                    </w:rPr>
                    <w:t xml:space="preserve">年 </w:t>
                  </w:r>
                  <w:r>
                    <w:rPr>
                      <w:rFonts w:ascii="Times New Roman" w:eastAsia="Times New Roman"/>
                      <w:sz w:val="21"/>
                    </w:rPr>
                    <w:t>1</w:t>
                  </w:r>
                  <w:r>
                    <w:rPr>
                      <w:rFonts w:hint="eastAsia" w:ascii="Times New Roman"/>
                      <w:sz w:val="21"/>
                      <w:lang w:val="en-US" w:eastAsia="zh-CN"/>
                    </w:rPr>
                    <w:t>2</w:t>
                  </w:r>
                  <w:r>
                    <w:rPr>
                      <w:rFonts w:ascii="Times New Roman" w:eastAsia="Times New Roman"/>
                      <w:sz w:val="21"/>
                    </w:rPr>
                    <w:t xml:space="preserve"> </w:t>
                  </w:r>
                  <w:r>
                    <w:rPr>
                      <w:sz w:val="21"/>
                    </w:rPr>
                    <w:t xml:space="preserve">月 </w:t>
                  </w:r>
                  <w:r>
                    <w:rPr>
                      <w:rFonts w:hint="eastAsia" w:ascii="Times New Roman"/>
                      <w:sz w:val="21"/>
                      <w:lang w:val="en-US" w:eastAsia="zh-CN"/>
                    </w:rPr>
                    <w:t>07</w:t>
                  </w:r>
                  <w:r>
                    <w:rPr>
                      <w:rFonts w:ascii="Times New Roman" w:eastAsia="Times New Roman"/>
                      <w:sz w:val="21"/>
                    </w:rPr>
                    <w:t xml:space="preserve"> </w:t>
                  </w:r>
                  <w:r>
                    <w:rPr>
                      <w:sz w:val="21"/>
                    </w:rPr>
                    <w:t>日</w:t>
                  </w:r>
                </w:p>
              </w:tc>
              <w:tc>
                <w:tcPr>
                  <w:tcW w:w="2281" w:type="dxa"/>
                  <w:vMerge w:val="continue"/>
                  <w:tcBorders>
                    <w:top w:val="nil"/>
                  </w:tcBorders>
                  <w:vAlign w:val="top"/>
                </w:tcPr>
                <w:p>
                  <w:pPr>
                    <w:rPr>
                      <w:sz w:val="2"/>
                      <w:szCs w:val="2"/>
                    </w:rPr>
                  </w:pPr>
                </w:p>
              </w:tc>
              <w:tc>
                <w:tcPr>
                  <w:tcW w:w="2379" w:type="dxa"/>
                  <w:vAlign w:val="top"/>
                </w:tcPr>
                <w:p>
                  <w:pPr>
                    <w:pStyle w:val="15"/>
                    <w:spacing w:before="119"/>
                    <w:ind w:left="328" w:right="318"/>
                    <w:jc w:val="center"/>
                    <w:rPr>
                      <w:rFonts w:hint="default" w:ascii="Times New Roman" w:eastAsia="宋体"/>
                      <w:sz w:val="21"/>
                      <w:lang w:val="en-US" w:eastAsia="zh-CN"/>
                    </w:rPr>
                  </w:pPr>
                  <w:r>
                    <w:rPr>
                      <w:rFonts w:hint="eastAsia" w:ascii="Times New Roman"/>
                      <w:sz w:val="21"/>
                      <w:lang w:val="en-US" w:eastAsia="zh-CN"/>
                    </w:rPr>
                    <w:t>1.11万m</w:t>
                  </w:r>
                  <w:r>
                    <w:rPr>
                      <w:rFonts w:hint="eastAsia" w:ascii="Times New Roman"/>
                      <w:sz w:val="21"/>
                      <w:vertAlign w:val="superscript"/>
                      <w:lang w:val="en-US" w:eastAsia="zh-CN"/>
                    </w:rPr>
                    <w:t>2</w:t>
                  </w:r>
                  <w:r>
                    <w:rPr>
                      <w:rFonts w:hint="eastAsia" w:ascii="Times New Roman"/>
                      <w:sz w:val="21"/>
                      <w:lang w:val="en-US" w:eastAsia="zh-CN"/>
                    </w:rPr>
                    <w:t>/</w:t>
                  </w:r>
                  <w:r>
                    <w:rPr>
                      <w:rFonts w:hint="eastAsia" w:ascii="Times New Roman"/>
                      <w:sz w:val="21"/>
                      <w:vertAlign w:val="baseline"/>
                      <w:lang w:val="en-US" w:eastAsia="zh-CN"/>
                    </w:rPr>
                    <w:t>d</w:t>
                  </w:r>
                </w:p>
              </w:tc>
              <w:tc>
                <w:tcPr>
                  <w:tcW w:w="2378" w:type="dxa"/>
                  <w:vAlign w:val="top"/>
                </w:tcPr>
                <w:p>
                  <w:pPr>
                    <w:pStyle w:val="15"/>
                    <w:spacing w:before="119"/>
                    <w:ind w:left="748" w:right="735"/>
                    <w:jc w:val="center"/>
                    <w:rPr>
                      <w:rFonts w:hint="default" w:ascii="Times New Roman" w:eastAsia="宋体"/>
                      <w:sz w:val="21"/>
                      <w:lang w:val="en-US" w:eastAsia="zh-CN"/>
                    </w:rPr>
                  </w:pPr>
                  <w:r>
                    <w:rPr>
                      <w:rFonts w:hint="eastAsia" w:ascii="Times New Roman"/>
                      <w:sz w:val="21"/>
                      <w:lang w:val="en-US" w:eastAsia="zh-CN"/>
                    </w:rPr>
                    <w:t>100%</w:t>
                  </w:r>
                </w:p>
              </w:tc>
            </w:tr>
          </w:tbl>
          <w:p>
            <w:pPr>
              <w:pStyle w:val="15"/>
              <w:ind w:left="107"/>
              <w:rPr>
                <w:b/>
                <w:sz w:val="24"/>
              </w:rPr>
            </w:pPr>
          </w:p>
          <w:p>
            <w:pPr>
              <w:pStyle w:val="15"/>
              <w:ind w:left="107"/>
              <w:rPr>
                <w:b/>
                <w:sz w:val="24"/>
              </w:rPr>
            </w:pPr>
            <w:r>
              <w:rPr>
                <w:b/>
                <w:sz w:val="24"/>
              </w:rPr>
              <w:t>二、验收检测结果：</w:t>
            </w:r>
          </w:p>
          <w:p>
            <w:pPr>
              <w:pStyle w:val="15"/>
              <w:spacing w:before="159"/>
              <w:ind w:left="587"/>
              <w:rPr>
                <w:rFonts w:hint="default" w:ascii="Times New Roman"/>
                <w:b/>
                <w:sz w:val="24"/>
                <w:lang w:val="en-US" w:eastAsia="zh-CN"/>
              </w:rPr>
            </w:pPr>
            <w:r>
              <w:rPr>
                <w:rFonts w:hint="eastAsia" w:ascii="Times New Roman"/>
                <w:b/>
                <w:sz w:val="24"/>
                <w:lang w:val="en-US" w:eastAsia="zh-CN"/>
              </w:rPr>
              <w:t>1、废水检测</w:t>
            </w:r>
          </w:p>
          <w:p>
            <w:pPr>
              <w:pStyle w:val="15"/>
              <w:spacing w:before="159"/>
              <w:ind w:left="587"/>
              <w:rPr>
                <w:rFonts w:hint="eastAsia" w:ascii="Times New Roman"/>
                <w:b w:val="0"/>
                <w:bCs/>
                <w:sz w:val="24"/>
                <w:lang w:val="en-US" w:eastAsia="zh-CN"/>
              </w:rPr>
            </w:pPr>
            <w:r>
              <w:rPr>
                <w:rFonts w:hint="eastAsia" w:ascii="Times New Roman"/>
                <w:b w:val="0"/>
                <w:bCs/>
                <w:sz w:val="24"/>
                <w:lang w:val="en-US" w:eastAsia="zh-CN"/>
              </w:rPr>
              <w:t>本项目废水检测结果详见表7-2。</w:t>
            </w:r>
          </w:p>
          <w:p>
            <w:pPr>
              <w:pStyle w:val="15"/>
              <w:spacing w:before="159"/>
              <w:ind w:left="587"/>
              <w:rPr>
                <w:rFonts w:hint="default" w:ascii="Times New Roman"/>
                <w:b w:val="0"/>
                <w:bCs/>
                <w:sz w:val="24"/>
                <w:lang w:val="en-US" w:eastAsia="zh-CN"/>
              </w:rPr>
            </w:pPr>
            <w:r>
              <w:rPr>
                <w:rFonts w:hint="eastAsia" w:ascii="Times New Roman"/>
                <w:b w:val="0"/>
                <w:bCs/>
                <w:sz w:val="24"/>
                <w:lang w:val="en-US" w:eastAsia="zh-CN"/>
              </w:rPr>
              <w:t>表7-2 废水检测结果  单位：</w:t>
            </w:r>
            <w:r>
              <w:rPr>
                <w:rFonts w:hint="eastAsia" w:ascii="Times New Roman" w:hAnsi="Times New Roman" w:eastAsia="宋体"/>
                <w:color w:val="auto"/>
                <w:sz w:val="21"/>
                <w:szCs w:val="21"/>
                <w:lang w:val="en-US" w:eastAsia="zh-CN"/>
              </w:rPr>
              <w:t>（mg/L）</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361"/>
              <w:gridCol w:w="1362"/>
              <w:gridCol w:w="1363"/>
              <w:gridCol w:w="1363"/>
              <w:gridCol w:w="1363"/>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日期</w:t>
                  </w:r>
                </w:p>
              </w:tc>
              <w:tc>
                <w:tcPr>
                  <w:tcW w:w="1361"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检测参数</w:t>
                  </w:r>
                </w:p>
              </w:tc>
              <w:tc>
                <w:tcPr>
                  <w:tcW w:w="1362"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检测结果1</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检测结果2</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检测结果3</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检测结果4</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2021年12月07日</w:t>
                  </w: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悬浮物</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5</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化学需氧量</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生化需氧量（BOD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eastAsia="宋体"/>
                      <w:color w:val="auto"/>
                      <w:sz w:val="21"/>
                      <w:szCs w:val="21"/>
                      <w:lang w:val="en-US" w:eastAsia="zh-CN"/>
                    </w:rPr>
                    <w:t>）</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7.2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氨氮</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0.360</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0.351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0.389</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0.464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rPr>
                    <w:t>总磷</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0.99</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2021年12月07日</w:t>
                  </w: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悬浮物</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5</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化学需氧量</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生化需氧量（BOD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eastAsia="宋体"/>
                      <w:color w:val="auto"/>
                      <w:sz w:val="21"/>
                      <w:szCs w:val="21"/>
                      <w:lang w:val="en-US" w:eastAsia="zh-CN"/>
                    </w:rPr>
                    <w:t>）</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9.0</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7.4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9.0</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9.2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氨氮</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0.513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0.507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0.478</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0.481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rPr>
                    <w:t>总磷</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1.02</w:t>
                  </w:r>
                </w:p>
              </w:tc>
            </w:tr>
          </w:tbl>
          <w:p>
            <w:pPr>
              <w:pStyle w:val="15"/>
              <w:spacing w:line="364" w:lineRule="auto"/>
              <w:ind w:left="107" w:right="64" w:firstLine="480"/>
              <w:jc w:val="both"/>
              <w:rPr>
                <w:rFonts w:hint="default" w:ascii="Times New Roman" w:hAnsi="Times New Roman" w:cs="Times New Roman"/>
                <w:spacing w:val="-6"/>
                <w:sz w:val="24"/>
                <w:lang w:val="en-US" w:eastAsia="zh-CN"/>
              </w:rPr>
            </w:pPr>
            <w:r>
              <w:rPr>
                <w:rFonts w:hint="default" w:ascii="Times New Roman" w:hAnsi="Times New Roman" w:cs="Times New Roman"/>
                <w:spacing w:val="-6"/>
                <w:sz w:val="24"/>
                <w:lang w:val="en-US" w:eastAsia="zh-CN"/>
              </w:rPr>
              <w:t>根据表7-2中显示污水检测结果满足《污水综合排放标准》（GB 8978-1996）三级排放限值，其中TP、NH</w:t>
            </w:r>
            <w:r>
              <w:rPr>
                <w:rFonts w:hint="default" w:ascii="Times New Roman" w:hAnsi="Times New Roman" w:cs="Times New Roman"/>
                <w:spacing w:val="-6"/>
                <w:sz w:val="24"/>
                <w:vertAlign w:val="subscript"/>
                <w:lang w:val="en-US" w:eastAsia="zh-CN"/>
              </w:rPr>
              <w:t>3</w:t>
            </w:r>
            <w:r>
              <w:rPr>
                <w:rFonts w:hint="default" w:ascii="Times New Roman" w:hAnsi="Times New Roman" w:cs="Times New Roman"/>
                <w:spacing w:val="-6"/>
                <w:sz w:val="24"/>
                <w:lang w:val="en-US" w:eastAsia="zh-CN"/>
              </w:rPr>
              <w:t>-N满足二级排放限制。即COD≤500mg/L、BOD5≤300mg/L、SS≤400mg/L、TP≤1.0mg/L、NH</w:t>
            </w:r>
            <w:r>
              <w:rPr>
                <w:rFonts w:hint="default" w:ascii="Times New Roman" w:hAnsi="Times New Roman" w:cs="Times New Roman"/>
                <w:spacing w:val="-6"/>
                <w:sz w:val="24"/>
                <w:vertAlign w:val="subscript"/>
                <w:lang w:val="en-US" w:eastAsia="zh-CN"/>
              </w:rPr>
              <w:t>3</w:t>
            </w:r>
            <w:r>
              <w:rPr>
                <w:rFonts w:hint="default" w:ascii="Times New Roman" w:hAnsi="Times New Roman" w:cs="Times New Roman"/>
                <w:spacing w:val="-6"/>
                <w:sz w:val="24"/>
                <w:lang w:val="en-US" w:eastAsia="zh-CN"/>
              </w:rPr>
              <w:t>-N≤25mg/L。</w:t>
            </w:r>
          </w:p>
          <w:p>
            <w:pPr>
              <w:pStyle w:val="15"/>
              <w:spacing w:before="159"/>
              <w:ind w:left="587"/>
              <w:rPr>
                <w:b/>
                <w:sz w:val="24"/>
              </w:rPr>
            </w:pPr>
            <w:r>
              <w:rPr>
                <w:rFonts w:hint="eastAsia" w:ascii="Times New Roman"/>
                <w:b/>
                <w:sz w:val="24"/>
                <w:lang w:val="en-US" w:eastAsia="zh-CN"/>
              </w:rPr>
              <w:t>2</w:t>
            </w:r>
            <w:r>
              <w:rPr>
                <w:b/>
                <w:sz w:val="24"/>
              </w:rPr>
              <w:t>、废气检测</w:t>
            </w:r>
          </w:p>
          <w:p>
            <w:pPr>
              <w:pStyle w:val="15"/>
              <w:spacing w:before="160"/>
              <w:ind w:left="587"/>
              <w:rPr>
                <w:sz w:val="24"/>
              </w:rPr>
            </w:pPr>
            <w:r>
              <w:rPr>
                <w:sz w:val="24"/>
              </w:rPr>
              <w:t>本项目产生的有组织废气主要为</w:t>
            </w:r>
            <w:r>
              <w:rPr>
                <w:rFonts w:hint="eastAsia"/>
                <w:sz w:val="24"/>
                <w:lang w:val="en-US" w:eastAsia="zh-CN"/>
              </w:rPr>
              <w:t>印刷废气</w:t>
            </w:r>
            <w:r>
              <w:rPr>
                <w:sz w:val="24"/>
              </w:rPr>
              <w:t>。</w:t>
            </w:r>
          </w:p>
          <w:p>
            <w:pPr>
              <w:pStyle w:val="15"/>
              <w:spacing w:before="159"/>
              <w:ind w:left="587"/>
              <w:rPr>
                <w:sz w:val="24"/>
              </w:rPr>
            </w:pPr>
            <w:r>
              <w:rPr>
                <w:sz w:val="21"/>
              </w:rPr>
              <w:t>（</w:t>
            </w:r>
            <w:r>
              <w:rPr>
                <w:rFonts w:ascii="Times New Roman" w:eastAsia="Times New Roman"/>
                <w:sz w:val="21"/>
              </w:rPr>
              <w:t>1</w:t>
            </w:r>
            <w:r>
              <w:rPr>
                <w:sz w:val="21"/>
              </w:rPr>
              <w:t>）</w:t>
            </w:r>
            <w:r>
              <w:rPr>
                <w:rFonts w:hint="eastAsia"/>
                <w:sz w:val="24"/>
                <w:lang w:val="en-US" w:eastAsia="zh-CN"/>
              </w:rPr>
              <w:t>印刷</w:t>
            </w:r>
            <w:r>
              <w:rPr>
                <w:sz w:val="24"/>
              </w:rPr>
              <w:t>产生的有组织废气</w:t>
            </w:r>
          </w:p>
          <w:p>
            <w:pPr>
              <w:pStyle w:val="15"/>
              <w:spacing w:before="159"/>
              <w:ind w:left="587"/>
              <w:rPr>
                <w:sz w:val="24"/>
              </w:rPr>
            </w:pPr>
            <w:r>
              <w:rPr>
                <w:sz w:val="24"/>
              </w:rPr>
              <w:t>本项目</w:t>
            </w:r>
            <w:r>
              <w:rPr>
                <w:rFonts w:hint="eastAsia"/>
                <w:sz w:val="24"/>
                <w:lang w:val="en-US" w:eastAsia="zh-CN"/>
              </w:rPr>
              <w:t>有组织废气</w:t>
            </w:r>
            <w:r>
              <w:rPr>
                <w:sz w:val="24"/>
              </w:rPr>
              <w:t xml:space="preserve">检测结果详见表 </w:t>
            </w:r>
            <w:r>
              <w:rPr>
                <w:rFonts w:ascii="Times New Roman" w:eastAsia="Times New Roman"/>
                <w:sz w:val="24"/>
              </w:rPr>
              <w:t>7-</w:t>
            </w:r>
            <w:r>
              <w:rPr>
                <w:rFonts w:hint="eastAsia" w:ascii="Times New Roman"/>
                <w:sz w:val="24"/>
                <w:lang w:val="en-US" w:eastAsia="zh-CN"/>
              </w:rPr>
              <w:t>3</w:t>
            </w:r>
            <w:r>
              <w:rPr>
                <w:sz w:val="24"/>
              </w:rPr>
              <w:t>。</w:t>
            </w:r>
          </w:p>
          <w:tbl>
            <w:tblPr>
              <w:tblStyle w:val="11"/>
              <w:tblpPr w:leftFromText="180" w:rightFromText="180" w:vertAnchor="text" w:horzAnchor="page" w:tblpX="318" w:tblpY="538"/>
              <w:tblOverlap w:val="never"/>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934"/>
              <w:gridCol w:w="934"/>
              <w:gridCol w:w="934"/>
              <w:gridCol w:w="939"/>
              <w:gridCol w:w="934"/>
              <w:gridCol w:w="934"/>
              <w:gridCol w:w="934"/>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1835" w:type="dxa"/>
                  <w:vMerge w:val="restart"/>
                  <w:noWrap w:val="0"/>
                  <w:vAlign w:val="center"/>
                </w:tcPr>
                <w:p>
                  <w:pPr>
                    <w:pStyle w:val="14"/>
                    <w:spacing w:after="0"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检测项目</w:t>
                  </w:r>
                </w:p>
              </w:tc>
              <w:tc>
                <w:tcPr>
                  <w:tcW w:w="7484" w:type="dxa"/>
                  <w:gridSpan w:val="8"/>
                  <w:noWrap w:val="0"/>
                  <w:vAlign w:val="center"/>
                </w:tcPr>
                <w:p>
                  <w:pPr>
                    <w:pStyle w:val="14"/>
                    <w:spacing w:after="0" w:line="24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点位</w:t>
                  </w:r>
                  <w:r>
                    <w:rPr>
                      <w:rFonts w:hint="eastAsia" w:ascii="Times New Roman" w:hAnsi="Times New Roman"/>
                      <w:color w:val="auto"/>
                      <w:sz w:val="21"/>
                      <w:szCs w:val="21"/>
                      <w:lang w:eastAsia="zh-CN"/>
                    </w:rPr>
                    <w:t>名称</w:t>
                  </w:r>
                  <w:r>
                    <w:rPr>
                      <w:rFonts w:ascii="Times New Roman" w:hAnsi="Times New Roman"/>
                      <w:color w:val="auto"/>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35" w:type="dxa"/>
                  <w:vMerge w:val="continue"/>
                  <w:noWrap w:val="0"/>
                  <w:vAlign w:val="center"/>
                </w:tcPr>
                <w:p>
                  <w:pPr>
                    <w:pStyle w:val="14"/>
                    <w:spacing w:after="0" w:line="240" w:lineRule="auto"/>
                    <w:ind w:firstLine="0" w:firstLineChars="0"/>
                    <w:jc w:val="center"/>
                    <w:rPr>
                      <w:rFonts w:ascii="Times New Roman" w:hAnsi="Times New Roman"/>
                      <w:color w:val="auto"/>
                      <w:sz w:val="21"/>
                      <w:szCs w:val="21"/>
                    </w:rPr>
                  </w:pPr>
                </w:p>
              </w:tc>
              <w:tc>
                <w:tcPr>
                  <w:tcW w:w="3741"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200" w:beforeAutospacing="0" w:line="272" w:lineRule="auto"/>
                    <w:jc w:val="center"/>
                    <w:textAlignment w:val="center"/>
                    <w:rPr>
                      <w:rFonts w:hint="eastAsia" w:ascii="Times New Roman" w:hAnsi="Times New Roman"/>
                      <w:color w:val="auto"/>
                      <w:szCs w:val="21"/>
                    </w:rPr>
                  </w:pPr>
                  <w:r>
                    <w:rPr>
                      <w:rFonts w:hint="eastAsia" w:ascii="Times New Roman" w:hAnsi="Times New Roman" w:cs="Times New Roman"/>
                      <w:b w:val="0"/>
                      <w:bCs w:val="0"/>
                      <w:color w:val="auto"/>
                      <w:sz w:val="21"/>
                      <w:szCs w:val="21"/>
                      <w:vertAlign w:val="baseline"/>
                      <w:lang w:val="en-US" w:eastAsia="zh-CN"/>
                    </w:rPr>
                    <w:t>印刷车间废气排气筒FQ1</w:t>
                  </w:r>
                </w:p>
              </w:tc>
              <w:tc>
                <w:tcPr>
                  <w:tcW w:w="3743"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200" w:beforeAutospacing="0" w:line="272" w:lineRule="auto"/>
                    <w:jc w:val="center"/>
                    <w:textAlignment w:val="center"/>
                    <w:rPr>
                      <w:rFonts w:hint="eastAsia" w:ascii="Times New Roman" w:hAnsi="Times New Roman"/>
                      <w:color w:val="auto"/>
                      <w:szCs w:val="21"/>
                    </w:rPr>
                  </w:pPr>
                  <w:r>
                    <w:rPr>
                      <w:rFonts w:hint="eastAsia" w:ascii="Times New Roman" w:hAnsi="Times New Roman" w:cs="Times New Roman"/>
                      <w:b w:val="0"/>
                      <w:bCs w:val="0"/>
                      <w:color w:val="auto"/>
                      <w:sz w:val="21"/>
                      <w:szCs w:val="21"/>
                      <w:vertAlign w:val="baseline"/>
                      <w:lang w:val="en-US" w:eastAsia="zh-CN"/>
                    </w:rPr>
                    <w:t>印刷车间废气排气筒FQ1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835" w:type="dxa"/>
                  <w:vMerge w:val="continue"/>
                  <w:noWrap w:val="0"/>
                  <w:vAlign w:val="center"/>
                </w:tcPr>
                <w:p>
                  <w:pPr>
                    <w:keepNext w:val="0"/>
                    <w:keepLines w:val="0"/>
                    <w:widowControl/>
                    <w:suppressLineNumbers w:val="0"/>
                    <w:jc w:val="center"/>
                    <w:textAlignment w:val="center"/>
                    <w:rPr>
                      <w:color w:val="auto"/>
                    </w:rPr>
                  </w:pP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第一次</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第二次</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第三次</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平均值</w:t>
                  </w:r>
                </w:p>
              </w:tc>
              <w:tc>
                <w:tcPr>
                  <w:tcW w:w="9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第一次</w:t>
                  </w:r>
                </w:p>
              </w:tc>
              <w:tc>
                <w:tcPr>
                  <w:tcW w:w="9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第二次</w:t>
                  </w:r>
                </w:p>
              </w:tc>
              <w:tc>
                <w:tcPr>
                  <w:tcW w:w="9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第三次</w:t>
                  </w:r>
                </w:p>
              </w:tc>
              <w:tc>
                <w:tcPr>
                  <w:tcW w:w="9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835" w:type="dxa"/>
                  <w:noWrap w:val="0"/>
                  <w:vAlign w:val="center"/>
                </w:tcPr>
                <w:p>
                  <w:pPr>
                    <w:pStyle w:val="14"/>
                    <w:spacing w:after="0"/>
                    <w:ind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r>
                    <w:rPr>
                      <w:rFonts w:hint="eastAsia" w:ascii="Times New Roman" w:hAnsi="Times New Roman" w:cs="宋体"/>
                      <w:color w:val="auto"/>
                      <w:sz w:val="21"/>
                      <w:szCs w:val="21"/>
                      <w:highlight w:val="none"/>
                      <w:lang w:val="en-US" w:eastAsia="zh-CN" w:bidi="ar-SA"/>
                    </w:rPr>
                    <w:t>mg/m</w:t>
                  </w:r>
                  <w:r>
                    <w:rPr>
                      <w:rFonts w:hint="eastAsia" w:ascii="Times New Roman" w:hAnsi="Times New Roman" w:cs="宋体"/>
                      <w:color w:val="auto"/>
                      <w:sz w:val="21"/>
                      <w:szCs w:val="21"/>
                      <w:highlight w:val="none"/>
                      <w:vertAlign w:val="superscript"/>
                      <w:lang w:val="en-US" w:eastAsia="zh-CN" w:bidi="ar-SA"/>
                    </w:rPr>
                    <w:t>3</w:t>
                  </w:r>
                  <w:r>
                    <w:rPr>
                      <w:rFonts w:hint="eastAsia" w:ascii="Times New Roman" w:hAnsi="Times New Roman" w:cs="宋体"/>
                      <w:color w:val="auto"/>
                      <w:sz w:val="21"/>
                      <w:szCs w:val="21"/>
                      <w:highlight w:val="none"/>
                      <w:vertAlign w:val="baseline"/>
                      <w:lang w:val="en-US" w:eastAsia="zh-CN" w:bidi="ar-SA"/>
                    </w:rPr>
                    <w:t>）</w:t>
                  </w:r>
                </w:p>
              </w:tc>
              <w:tc>
                <w:tcPr>
                  <w:tcW w:w="934" w:type="dxa"/>
                  <w:noWrap w:val="0"/>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4.68</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6.10</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5.57</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5.45</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7.10</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7.19</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7.61</w:t>
                  </w:r>
                </w:p>
              </w:tc>
              <w:tc>
                <w:tcPr>
                  <w:tcW w:w="941"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7.30</w:t>
                  </w:r>
                </w:p>
              </w:tc>
            </w:tr>
          </w:tbl>
          <w:p>
            <w:pPr>
              <w:pStyle w:val="15"/>
              <w:tabs>
                <w:tab w:val="left" w:pos="778"/>
              </w:tabs>
              <w:spacing w:before="158" w:line="253" w:lineRule="exact"/>
              <w:ind w:left="25"/>
              <w:jc w:val="center"/>
              <w:rPr>
                <w:b w:val="0"/>
                <w:bCs/>
                <w:sz w:val="21"/>
              </w:rPr>
            </w:pPr>
            <w:r>
              <w:rPr>
                <w:b w:val="0"/>
                <w:bCs/>
                <w:sz w:val="21"/>
              </w:rPr>
              <w:t>表</w:t>
            </w:r>
            <w:r>
              <w:rPr>
                <w:b w:val="0"/>
                <w:bCs/>
                <w:spacing w:val="-55"/>
                <w:sz w:val="21"/>
              </w:rPr>
              <w:t xml:space="preserve"> </w:t>
            </w:r>
            <w:r>
              <w:rPr>
                <w:rFonts w:ascii="Times New Roman" w:eastAsia="Times New Roman"/>
                <w:b w:val="0"/>
                <w:bCs/>
                <w:sz w:val="21"/>
              </w:rPr>
              <w:t>7-</w:t>
            </w:r>
            <w:r>
              <w:rPr>
                <w:rFonts w:hint="eastAsia" w:ascii="Times New Roman"/>
                <w:b w:val="0"/>
                <w:bCs/>
                <w:sz w:val="21"/>
                <w:lang w:val="en-US" w:eastAsia="zh-CN"/>
              </w:rPr>
              <w:t>3</w:t>
            </w:r>
            <w:r>
              <w:rPr>
                <w:rFonts w:ascii="Times New Roman" w:eastAsia="Times New Roman"/>
                <w:b w:val="0"/>
                <w:bCs/>
                <w:sz w:val="21"/>
              </w:rPr>
              <w:tab/>
            </w:r>
            <w:r>
              <w:rPr>
                <w:rFonts w:hint="eastAsia"/>
                <w:b w:val="0"/>
                <w:bCs/>
                <w:sz w:val="21"/>
                <w:lang w:val="en-US" w:eastAsia="zh-CN"/>
              </w:rPr>
              <w:t>有组织废气</w:t>
            </w:r>
            <w:r>
              <w:rPr>
                <w:b w:val="0"/>
                <w:bCs/>
                <w:sz w:val="21"/>
              </w:rPr>
              <w:t>监测结果一览表</w:t>
            </w:r>
          </w:p>
          <w:p>
            <w:pPr>
              <w:pStyle w:val="5"/>
              <w:spacing w:line="364" w:lineRule="auto"/>
              <w:ind w:left="229" w:right="125" w:firstLine="432" w:firstLineChars="200"/>
              <w:jc w:val="both"/>
              <w:rPr>
                <w:rFonts w:hint="eastAsia"/>
                <w:spacing w:val="-4"/>
                <w:lang w:eastAsia="zh-CN"/>
              </w:rPr>
            </w:pPr>
            <w:r>
              <w:rPr>
                <w:spacing w:val="-12"/>
              </w:rPr>
              <w:t xml:space="preserve">根据表 </w:t>
            </w:r>
            <w:r>
              <w:rPr>
                <w:rFonts w:ascii="Times New Roman" w:hAnsi="Times New Roman" w:eastAsia="Times New Roman"/>
              </w:rPr>
              <w:t>7-</w:t>
            </w:r>
            <w:r>
              <w:rPr>
                <w:rFonts w:hint="eastAsia" w:ascii="Times New Roman" w:hAnsi="Times New Roman"/>
                <w:lang w:val="en-US" w:eastAsia="zh-CN"/>
              </w:rPr>
              <w:t>3</w:t>
            </w:r>
            <w:r>
              <w:rPr>
                <w:rFonts w:ascii="Times New Roman" w:hAnsi="Times New Roman" w:eastAsia="Times New Roman"/>
              </w:rPr>
              <w:t xml:space="preserve"> </w:t>
            </w:r>
            <w:r>
              <w:rPr>
                <w:spacing w:val="6"/>
              </w:rPr>
              <w:t>检测结果显示，项目</w:t>
            </w:r>
            <w:r>
              <w:rPr>
                <w:rFonts w:hint="eastAsia"/>
                <w:spacing w:val="6"/>
                <w:lang w:val="en-US" w:eastAsia="zh-CN"/>
              </w:rPr>
              <w:t>印刷车间废气</w:t>
            </w:r>
            <w:r>
              <w:rPr>
                <w:spacing w:val="6"/>
              </w:rPr>
              <w:t>出口两日监测值中最大排放浓度为</w:t>
            </w:r>
            <w:r>
              <w:rPr>
                <w:rFonts w:hint="eastAsia" w:ascii="Times New Roman" w:hAnsi="Times New Roman"/>
                <w:spacing w:val="-5"/>
                <w:lang w:val="en-US" w:eastAsia="zh-CN"/>
              </w:rPr>
              <w:t>7.61</w:t>
            </w:r>
            <w:r>
              <w:rPr>
                <w:rFonts w:ascii="Times New Roman" w:hAnsi="Times New Roman" w:eastAsia="Times New Roman"/>
                <w:spacing w:val="-5"/>
              </w:rPr>
              <w:t>mg/m³</w:t>
            </w:r>
            <w:r>
              <w:rPr>
                <w:spacing w:val="-13"/>
              </w:rPr>
              <w:t>。</w:t>
            </w:r>
            <w:r>
              <w:t>有组织废气中</w:t>
            </w:r>
            <w:r>
              <w:rPr>
                <w:rFonts w:hint="eastAsia"/>
                <w:lang w:val="en-US" w:eastAsia="zh-CN"/>
              </w:rPr>
              <w:t>非甲烷总烃</w:t>
            </w:r>
            <w:r>
              <w:t>排</w:t>
            </w:r>
            <w:r>
              <w:rPr>
                <w:spacing w:val="-1"/>
              </w:rPr>
              <w:t>放浓度均低于《</w:t>
            </w:r>
            <w:r>
              <w:rPr>
                <w:rFonts w:hint="eastAsia"/>
                <w:spacing w:val="-1"/>
                <w:lang w:val="en-US" w:eastAsia="zh-CN"/>
              </w:rPr>
              <w:t>大气污染物综合排放标准</w:t>
            </w:r>
            <w:r>
              <w:rPr>
                <w:spacing w:val="-1"/>
              </w:rPr>
              <w:t>》</w:t>
            </w:r>
            <w:r>
              <w:t>（</w:t>
            </w:r>
            <w:r>
              <w:rPr>
                <w:rFonts w:ascii="Times New Roman" w:hAnsi="Times New Roman" w:eastAsia="Times New Roman"/>
              </w:rPr>
              <w:t>GB</w:t>
            </w:r>
            <w:r>
              <w:rPr>
                <w:rFonts w:hint="eastAsia" w:ascii="Times New Roman" w:hAnsi="Times New Roman"/>
                <w:lang w:val="en-US" w:eastAsia="zh-CN"/>
              </w:rPr>
              <w:t>16297</w:t>
            </w:r>
            <w:r>
              <w:rPr>
                <w:rFonts w:ascii="Times New Roman" w:hAnsi="Times New Roman" w:eastAsia="Times New Roman"/>
              </w:rPr>
              <w:t>-1996</w:t>
            </w:r>
            <w:r>
              <w:t>）</w:t>
            </w:r>
            <w:r>
              <w:rPr>
                <w:spacing w:val="-32"/>
              </w:rPr>
              <w:t xml:space="preserve">表 </w:t>
            </w:r>
            <w:r>
              <w:rPr>
                <w:rFonts w:ascii="Times New Roman" w:hAnsi="Times New Roman" w:eastAsia="Times New Roman"/>
              </w:rPr>
              <w:t xml:space="preserve">2 </w:t>
            </w:r>
            <w:r>
              <w:t>中的“</w:t>
            </w:r>
            <w:r>
              <w:rPr>
                <w:rFonts w:hint="eastAsia"/>
                <w:lang w:val="en-US" w:eastAsia="zh-CN"/>
              </w:rPr>
              <w:t>非甲烷总烃</w:t>
            </w:r>
            <w:r>
              <w:rPr>
                <w:spacing w:val="-6"/>
              </w:rPr>
              <w:t>”标准限值，</w:t>
            </w:r>
            <w:r>
              <w:rPr>
                <w:rFonts w:hint="eastAsia"/>
                <w:spacing w:val="-6"/>
                <w:lang w:val="en-US" w:eastAsia="zh-CN"/>
              </w:rPr>
              <w:t>非甲烷总烃</w:t>
            </w:r>
            <w:r>
              <w:rPr>
                <w:rFonts w:ascii="Times New Roman" w:hAnsi="Times New Roman" w:eastAsia="Times New Roman"/>
              </w:rPr>
              <w:t>≤1</w:t>
            </w:r>
            <w:r>
              <w:rPr>
                <w:rFonts w:hint="eastAsia" w:ascii="Times New Roman" w:hAnsi="Times New Roman"/>
                <w:lang w:val="en-US" w:eastAsia="zh-CN"/>
              </w:rPr>
              <w:t>2</w:t>
            </w:r>
            <w:r>
              <w:rPr>
                <w:rFonts w:ascii="Times New Roman" w:hAnsi="Times New Roman" w:eastAsia="Times New Roman"/>
              </w:rPr>
              <w:t xml:space="preserve">0 </w:t>
            </w:r>
            <w:r>
              <w:rPr>
                <w:rFonts w:ascii="Times New Roman" w:hAnsi="Times New Roman" w:eastAsia="Times New Roman"/>
                <w:spacing w:val="-3"/>
              </w:rPr>
              <w:t>mg/m</w:t>
            </w:r>
            <w:r>
              <w:rPr>
                <w:rFonts w:ascii="Times New Roman" w:hAnsi="Times New Roman" w:eastAsia="Times New Roman"/>
                <w:spacing w:val="-3"/>
                <w:position w:val="8"/>
                <w:sz w:val="15"/>
              </w:rPr>
              <w:t>3</w:t>
            </w:r>
            <w:r>
              <w:rPr>
                <w:rFonts w:hint="eastAsia"/>
                <w:spacing w:val="-4"/>
                <w:lang w:eastAsia="zh-CN"/>
              </w:rPr>
              <w:t>。</w:t>
            </w:r>
          </w:p>
          <w:p>
            <w:pPr>
              <w:pStyle w:val="5"/>
              <w:spacing w:before="154" w:line="360" w:lineRule="auto"/>
              <w:ind w:left="709"/>
            </w:pPr>
            <w:r>
              <w:t>（</w:t>
            </w:r>
            <w:r>
              <w:rPr>
                <w:rFonts w:ascii="Times New Roman" w:eastAsia="Times New Roman"/>
              </w:rPr>
              <w:t>2</w:t>
            </w:r>
            <w:r>
              <w:t>）无组织废气监测情况</w:t>
            </w:r>
          </w:p>
          <w:p>
            <w:pPr>
              <w:pStyle w:val="5"/>
              <w:spacing w:line="360" w:lineRule="auto"/>
              <w:ind w:left="709"/>
            </w:pPr>
            <w:r>
              <w:t xml:space="preserve">无组织废气监测结果详见表 </w:t>
            </w:r>
            <w:r>
              <w:rPr>
                <w:rFonts w:ascii="Times New Roman" w:eastAsia="Times New Roman"/>
              </w:rPr>
              <w:t>7-</w:t>
            </w:r>
            <w:r>
              <w:rPr>
                <w:rFonts w:hint="eastAsia" w:ascii="Times New Roman"/>
                <w:lang w:val="en-US" w:eastAsia="zh-CN"/>
              </w:rPr>
              <w:t>4</w:t>
            </w:r>
            <w:r>
              <w:t>。</w:t>
            </w:r>
          </w:p>
          <w:p>
            <w:pPr>
              <w:tabs>
                <w:tab w:val="left" w:pos="857"/>
                <w:tab w:val="left" w:pos="3597"/>
              </w:tabs>
              <w:spacing w:before="158" w:after="4"/>
              <w:ind w:left="0" w:right="5" w:firstLine="0"/>
              <w:jc w:val="center"/>
              <w:rPr>
                <w:rFonts w:ascii="Times New Roman" w:eastAsia="Times New Roman"/>
                <w:b w:val="0"/>
                <w:bCs/>
                <w:sz w:val="13"/>
              </w:rPr>
            </w:pPr>
            <w:r>
              <w:rPr>
                <w:b w:val="0"/>
                <w:bCs/>
                <w:sz w:val="21"/>
              </w:rPr>
              <w:t>表</w:t>
            </w:r>
            <w:r>
              <w:rPr>
                <w:b w:val="0"/>
                <w:bCs/>
                <w:spacing w:val="-55"/>
                <w:sz w:val="21"/>
              </w:rPr>
              <w:t xml:space="preserve"> </w:t>
            </w:r>
            <w:r>
              <w:rPr>
                <w:rFonts w:ascii="Times New Roman" w:eastAsia="Times New Roman"/>
                <w:b w:val="0"/>
                <w:bCs/>
                <w:sz w:val="21"/>
              </w:rPr>
              <w:t>7-</w:t>
            </w:r>
            <w:r>
              <w:rPr>
                <w:rFonts w:hint="eastAsia" w:ascii="Times New Roman"/>
                <w:b w:val="0"/>
                <w:bCs/>
                <w:sz w:val="21"/>
                <w:lang w:val="en-US" w:eastAsia="zh-CN"/>
              </w:rPr>
              <w:t>4</w:t>
            </w:r>
            <w:r>
              <w:rPr>
                <w:rFonts w:ascii="Times New Roman" w:eastAsia="Times New Roman"/>
                <w:b w:val="0"/>
                <w:bCs/>
                <w:sz w:val="21"/>
              </w:rPr>
              <w:tab/>
            </w:r>
            <w:r>
              <w:rPr>
                <w:b w:val="0"/>
                <w:bCs/>
                <w:sz w:val="21"/>
              </w:rPr>
              <w:t>无组织废气监测结果一览表</w:t>
            </w:r>
            <w:r>
              <w:rPr>
                <w:b w:val="0"/>
                <w:bCs/>
                <w:sz w:val="21"/>
              </w:rPr>
              <w:tab/>
            </w:r>
            <w:r>
              <w:rPr>
                <w:b w:val="0"/>
                <w:bCs/>
                <w:sz w:val="21"/>
              </w:rPr>
              <w:t>单位：</w:t>
            </w:r>
            <w:r>
              <w:rPr>
                <w:rFonts w:ascii="Times New Roman" w:eastAsia="Times New Roman"/>
                <w:b w:val="0"/>
                <w:bCs/>
                <w:sz w:val="21"/>
              </w:rPr>
              <w:t>mg/m</w:t>
            </w:r>
            <w:r>
              <w:rPr>
                <w:rFonts w:ascii="Times New Roman" w:eastAsia="Times New Roman"/>
                <w:b w:val="0"/>
                <w:bCs/>
                <w:position w:val="7"/>
                <w:sz w:val="13"/>
              </w:rPr>
              <w:t>3</w:t>
            </w:r>
          </w:p>
          <w:tbl>
            <w:tblPr>
              <w:tblStyle w:val="10"/>
              <w:tblW w:w="0" w:type="auto"/>
              <w:tblInd w:w="2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30"/>
              <w:gridCol w:w="1130"/>
              <w:gridCol w:w="1783"/>
              <w:gridCol w:w="2420"/>
              <w:gridCol w:w="1398"/>
              <w:gridCol w:w="11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430" w:type="dxa"/>
                  <w:tcBorders>
                    <w:bottom w:val="single" w:color="000000" w:sz="4" w:space="0"/>
                    <w:right w:val="single" w:color="000000" w:sz="4" w:space="0"/>
                  </w:tcBorders>
                </w:tcPr>
                <w:p>
                  <w:pPr>
                    <w:pStyle w:val="15"/>
                    <w:spacing w:before="160"/>
                    <w:ind w:left="293"/>
                    <w:rPr>
                      <w:b/>
                      <w:sz w:val="21"/>
                    </w:rPr>
                  </w:pPr>
                  <w:r>
                    <w:rPr>
                      <w:b/>
                      <w:sz w:val="21"/>
                    </w:rPr>
                    <w:t>检测日期</w:t>
                  </w:r>
                </w:p>
              </w:tc>
              <w:tc>
                <w:tcPr>
                  <w:tcW w:w="1130" w:type="dxa"/>
                  <w:tcBorders>
                    <w:left w:val="single" w:color="000000" w:sz="4" w:space="0"/>
                    <w:bottom w:val="single" w:color="000000" w:sz="4" w:space="0"/>
                    <w:right w:val="single" w:color="000000" w:sz="4" w:space="0"/>
                  </w:tcBorders>
                </w:tcPr>
                <w:p>
                  <w:pPr>
                    <w:pStyle w:val="15"/>
                    <w:spacing w:before="160"/>
                    <w:ind w:left="141"/>
                    <w:rPr>
                      <w:b/>
                      <w:sz w:val="21"/>
                    </w:rPr>
                  </w:pPr>
                  <w:r>
                    <w:rPr>
                      <w:b/>
                      <w:sz w:val="21"/>
                    </w:rPr>
                    <w:t>检测项目</w:t>
                  </w:r>
                </w:p>
              </w:tc>
              <w:tc>
                <w:tcPr>
                  <w:tcW w:w="1783" w:type="dxa"/>
                  <w:tcBorders>
                    <w:left w:val="single" w:color="000000" w:sz="4" w:space="0"/>
                    <w:bottom w:val="single" w:color="000000" w:sz="4" w:space="0"/>
                    <w:right w:val="single" w:color="000000" w:sz="4" w:space="0"/>
                  </w:tcBorders>
                </w:tcPr>
                <w:p>
                  <w:pPr>
                    <w:pStyle w:val="15"/>
                    <w:spacing w:before="160"/>
                    <w:ind w:left="206" w:right="199"/>
                    <w:jc w:val="center"/>
                    <w:rPr>
                      <w:b/>
                      <w:sz w:val="21"/>
                    </w:rPr>
                  </w:pPr>
                  <w:r>
                    <w:rPr>
                      <w:b/>
                      <w:sz w:val="21"/>
                    </w:rPr>
                    <w:t>检测点位</w:t>
                  </w:r>
                </w:p>
              </w:tc>
              <w:tc>
                <w:tcPr>
                  <w:tcW w:w="2420" w:type="dxa"/>
                  <w:tcBorders>
                    <w:left w:val="single" w:color="000000" w:sz="4" w:space="0"/>
                    <w:bottom w:val="single" w:color="000000" w:sz="4" w:space="0"/>
                    <w:right w:val="single" w:color="000000" w:sz="4" w:space="0"/>
                  </w:tcBorders>
                </w:tcPr>
                <w:p>
                  <w:pPr>
                    <w:pStyle w:val="15"/>
                    <w:spacing w:before="25"/>
                    <w:ind w:left="129" w:right="125"/>
                    <w:jc w:val="center"/>
                    <w:rPr>
                      <w:b/>
                      <w:sz w:val="21"/>
                    </w:rPr>
                  </w:pPr>
                  <w:r>
                    <w:rPr>
                      <w:b/>
                      <w:sz w:val="21"/>
                    </w:rPr>
                    <w:t>检测结果</w:t>
                  </w:r>
                </w:p>
                <w:p>
                  <w:pPr>
                    <w:pStyle w:val="15"/>
                    <w:spacing w:before="3"/>
                    <w:ind w:left="135" w:right="125"/>
                    <w:jc w:val="center"/>
                    <w:rPr>
                      <w:b/>
                      <w:sz w:val="21"/>
                    </w:rPr>
                  </w:pPr>
                  <w:r>
                    <w:rPr>
                      <w:b/>
                      <w:sz w:val="21"/>
                    </w:rPr>
                    <w:t>（周界外浓度最高点）</w:t>
                  </w:r>
                </w:p>
              </w:tc>
              <w:tc>
                <w:tcPr>
                  <w:tcW w:w="1398" w:type="dxa"/>
                  <w:tcBorders>
                    <w:left w:val="single" w:color="000000" w:sz="4" w:space="0"/>
                    <w:bottom w:val="single" w:color="000000" w:sz="4" w:space="0"/>
                    <w:right w:val="single" w:color="000000" w:sz="4" w:space="0"/>
                  </w:tcBorders>
                </w:tcPr>
                <w:p>
                  <w:pPr>
                    <w:pStyle w:val="15"/>
                    <w:spacing w:before="160"/>
                    <w:ind w:left="172"/>
                    <w:rPr>
                      <w:b/>
                      <w:sz w:val="21"/>
                    </w:rPr>
                  </w:pPr>
                  <w:r>
                    <w:rPr>
                      <w:b/>
                      <w:sz w:val="21"/>
                    </w:rPr>
                    <w:t>排放标准值</w:t>
                  </w:r>
                </w:p>
              </w:tc>
              <w:tc>
                <w:tcPr>
                  <w:tcW w:w="1114" w:type="dxa"/>
                  <w:tcBorders>
                    <w:left w:val="single" w:color="000000" w:sz="4" w:space="0"/>
                    <w:bottom w:val="single" w:color="000000" w:sz="4" w:space="0"/>
                    <w:right w:val="single" w:color="000000" w:sz="4" w:space="0"/>
                  </w:tcBorders>
                </w:tcPr>
                <w:p>
                  <w:pPr>
                    <w:pStyle w:val="15"/>
                    <w:spacing w:before="160"/>
                    <w:ind w:left="114" w:right="105"/>
                    <w:jc w:val="center"/>
                    <w:rPr>
                      <w:b/>
                      <w:sz w:val="21"/>
                    </w:rPr>
                  </w:pPr>
                  <w:r>
                    <w:rPr>
                      <w:b/>
                      <w:sz w:val="21"/>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30" w:type="dxa"/>
                  <w:vMerge w:val="restart"/>
                  <w:tcBorders>
                    <w:top w:val="single" w:color="000000" w:sz="4" w:space="0"/>
                    <w:bottom w:val="single" w:color="000000" w:sz="4" w:space="0"/>
                    <w:right w:val="single" w:color="000000" w:sz="4" w:space="0"/>
                  </w:tcBorders>
                </w:tcPr>
                <w:p>
                  <w:pPr>
                    <w:pStyle w:val="15"/>
                    <w:rPr>
                      <w:rFonts w:ascii="Times New Roman"/>
                      <w:b/>
                      <w:sz w:val="22"/>
                    </w:rPr>
                  </w:pPr>
                </w:p>
                <w:p>
                  <w:pPr>
                    <w:pStyle w:val="15"/>
                    <w:spacing w:before="185"/>
                    <w:ind w:left="168" w:right="163"/>
                    <w:jc w:val="center"/>
                    <w:rPr>
                      <w:sz w:val="21"/>
                    </w:rPr>
                  </w:pPr>
                  <w:r>
                    <w:rPr>
                      <w:rFonts w:ascii="Times New Roman" w:eastAsia="Times New Roman"/>
                      <w:sz w:val="21"/>
                    </w:rPr>
                    <w:t xml:space="preserve">2021 </w:t>
                  </w:r>
                  <w:r>
                    <w:rPr>
                      <w:sz w:val="21"/>
                    </w:rPr>
                    <w:t>年</w:t>
                  </w:r>
                </w:p>
                <w:p>
                  <w:pPr>
                    <w:pStyle w:val="15"/>
                    <w:spacing w:before="3"/>
                    <w:ind w:left="168" w:right="163"/>
                    <w:jc w:val="center"/>
                    <w:rPr>
                      <w:sz w:val="21"/>
                    </w:rPr>
                  </w:pPr>
                  <w:r>
                    <w:rPr>
                      <w:rFonts w:ascii="Times New Roman" w:eastAsia="Times New Roman"/>
                      <w:sz w:val="21"/>
                    </w:rPr>
                    <w:t>1</w:t>
                  </w:r>
                  <w:r>
                    <w:rPr>
                      <w:rFonts w:hint="eastAsia" w:ascii="Times New Roman"/>
                      <w:sz w:val="21"/>
                      <w:lang w:val="en-US" w:eastAsia="zh-CN"/>
                    </w:rPr>
                    <w:t>2</w:t>
                  </w:r>
                  <w:r>
                    <w:rPr>
                      <w:sz w:val="21"/>
                    </w:rPr>
                    <w:t>月</w:t>
                  </w:r>
                  <w:r>
                    <w:rPr>
                      <w:rFonts w:hint="eastAsia" w:ascii="Times New Roman"/>
                      <w:sz w:val="21"/>
                      <w:lang w:val="en-US" w:eastAsia="zh-CN"/>
                    </w:rPr>
                    <w:t>06</w:t>
                  </w:r>
                  <w:r>
                    <w:rPr>
                      <w:rFonts w:ascii="Times New Roman" w:eastAsia="Times New Roman"/>
                      <w:sz w:val="21"/>
                    </w:rPr>
                    <w:t xml:space="preserve"> </w:t>
                  </w:r>
                  <w:r>
                    <w:rPr>
                      <w:sz w:val="21"/>
                    </w:rPr>
                    <w:t>日</w:t>
                  </w:r>
                </w:p>
              </w:tc>
              <w:tc>
                <w:tcPr>
                  <w:tcW w:w="1130" w:type="dxa"/>
                  <w:vMerge w:val="restart"/>
                  <w:tcBorders>
                    <w:top w:val="single" w:color="000000" w:sz="4" w:space="0"/>
                    <w:left w:val="single" w:color="000000" w:sz="4" w:space="0"/>
                    <w:right w:val="single" w:color="000000" w:sz="4" w:space="0"/>
                  </w:tcBorders>
                </w:tcPr>
                <w:p>
                  <w:pPr>
                    <w:pStyle w:val="15"/>
                    <w:rPr>
                      <w:rFonts w:ascii="Times New Roman"/>
                      <w:b/>
                      <w:sz w:val="20"/>
                    </w:rPr>
                  </w:pPr>
                </w:p>
                <w:p>
                  <w:pPr>
                    <w:pStyle w:val="15"/>
                    <w:rPr>
                      <w:rFonts w:ascii="Times New Roman"/>
                      <w:b/>
                      <w:sz w:val="20"/>
                    </w:rPr>
                  </w:pPr>
                </w:p>
                <w:p>
                  <w:pPr>
                    <w:pStyle w:val="15"/>
                    <w:rPr>
                      <w:rFonts w:ascii="Times New Roman"/>
                      <w:b/>
                      <w:sz w:val="20"/>
                    </w:rPr>
                  </w:pPr>
                </w:p>
                <w:p>
                  <w:pPr>
                    <w:pStyle w:val="15"/>
                    <w:rPr>
                      <w:rFonts w:ascii="Times New Roman"/>
                      <w:b/>
                      <w:sz w:val="20"/>
                    </w:rPr>
                  </w:pPr>
                </w:p>
                <w:p>
                  <w:pPr>
                    <w:pStyle w:val="15"/>
                    <w:rPr>
                      <w:rFonts w:ascii="Times New Roman"/>
                      <w:b/>
                      <w:sz w:val="20"/>
                    </w:rPr>
                  </w:pPr>
                </w:p>
                <w:p>
                  <w:pPr>
                    <w:pStyle w:val="15"/>
                    <w:spacing w:before="147"/>
                    <w:ind w:left="247"/>
                    <w:rPr>
                      <w:sz w:val="21"/>
                    </w:rPr>
                  </w:pPr>
                  <w:r>
                    <w:rPr>
                      <w:sz w:val="21"/>
                    </w:rPr>
                    <w:t>颗粒物</w:t>
                  </w:r>
                </w:p>
              </w:tc>
              <w:tc>
                <w:tcPr>
                  <w:tcW w:w="1783" w:type="dxa"/>
                  <w:tcBorders>
                    <w:top w:val="single" w:color="000000" w:sz="4" w:space="0"/>
                    <w:left w:val="single" w:color="000000" w:sz="4" w:space="0"/>
                    <w:bottom w:val="single" w:color="000000" w:sz="4" w:space="0"/>
                    <w:right w:val="single" w:color="000000" w:sz="4" w:space="0"/>
                  </w:tcBorders>
                </w:tcPr>
                <w:p>
                  <w:pPr>
                    <w:pStyle w:val="15"/>
                    <w:spacing w:before="37"/>
                    <w:ind w:left="204" w:right="202"/>
                    <w:jc w:val="center"/>
                    <w:rPr>
                      <w:sz w:val="21"/>
                    </w:rPr>
                  </w:pPr>
                  <w:r>
                    <w:rPr>
                      <w:sz w:val="21"/>
                    </w:rPr>
                    <w:t>厂界上风向</w:t>
                  </w:r>
                </w:p>
              </w:tc>
              <w:tc>
                <w:tcPr>
                  <w:tcW w:w="2420" w:type="dxa"/>
                  <w:tcBorders>
                    <w:top w:val="single" w:color="000000" w:sz="4" w:space="0"/>
                    <w:left w:val="single" w:color="000000" w:sz="4" w:space="0"/>
                    <w:bottom w:val="single" w:color="000000" w:sz="4" w:space="0"/>
                    <w:right w:val="single" w:color="000000" w:sz="4" w:space="0"/>
                  </w:tcBorders>
                </w:tcPr>
                <w:p>
                  <w:pPr>
                    <w:pStyle w:val="15"/>
                    <w:spacing w:before="52"/>
                    <w:ind w:left="131" w:right="125"/>
                    <w:jc w:val="center"/>
                    <w:rPr>
                      <w:rFonts w:hint="default" w:ascii="Times New Roman" w:eastAsia="宋体"/>
                      <w:sz w:val="21"/>
                      <w:lang w:val="en-US" w:eastAsia="zh-CN"/>
                    </w:rPr>
                  </w:pPr>
                  <w:r>
                    <w:rPr>
                      <w:rFonts w:hint="eastAsia" w:ascii="Times New Roman"/>
                      <w:sz w:val="21"/>
                      <w:lang w:val="en-US" w:eastAsia="zh-CN"/>
                    </w:rPr>
                    <w:t>1.77</w:t>
                  </w:r>
                </w:p>
              </w:tc>
              <w:tc>
                <w:tcPr>
                  <w:tcW w:w="1398" w:type="dxa"/>
                  <w:vMerge w:val="restart"/>
                  <w:tcBorders>
                    <w:top w:val="single" w:color="000000" w:sz="4" w:space="0"/>
                    <w:left w:val="single" w:color="000000" w:sz="4" w:space="0"/>
                    <w:right w:val="single" w:color="000000" w:sz="4" w:space="0"/>
                  </w:tcBorders>
                </w:tcPr>
                <w:p>
                  <w:pPr>
                    <w:pStyle w:val="15"/>
                    <w:rPr>
                      <w:rFonts w:ascii="Times New Roman"/>
                      <w:b/>
                      <w:sz w:val="22"/>
                    </w:rPr>
                  </w:pPr>
                </w:p>
                <w:p>
                  <w:pPr>
                    <w:pStyle w:val="15"/>
                    <w:rPr>
                      <w:rFonts w:ascii="Times New Roman"/>
                      <w:b/>
                      <w:sz w:val="22"/>
                    </w:rPr>
                  </w:pPr>
                </w:p>
                <w:p>
                  <w:pPr>
                    <w:pStyle w:val="15"/>
                    <w:rPr>
                      <w:rFonts w:ascii="Times New Roman"/>
                      <w:b/>
                      <w:sz w:val="22"/>
                    </w:rPr>
                  </w:pPr>
                </w:p>
                <w:p>
                  <w:pPr>
                    <w:pStyle w:val="15"/>
                    <w:rPr>
                      <w:rFonts w:ascii="Times New Roman"/>
                      <w:b/>
                      <w:sz w:val="22"/>
                    </w:rPr>
                  </w:pPr>
                </w:p>
                <w:p>
                  <w:pPr>
                    <w:pStyle w:val="15"/>
                    <w:rPr>
                      <w:rFonts w:ascii="Times New Roman"/>
                      <w:b/>
                      <w:sz w:val="26"/>
                    </w:rPr>
                  </w:pPr>
                </w:p>
                <w:p>
                  <w:pPr>
                    <w:pStyle w:val="15"/>
                    <w:ind w:left="547" w:right="537"/>
                    <w:jc w:val="center"/>
                    <w:rPr>
                      <w:rFonts w:ascii="Times New Roman"/>
                      <w:sz w:val="21"/>
                    </w:rPr>
                  </w:pPr>
                  <w:r>
                    <w:rPr>
                      <w:rFonts w:hint="eastAsia" w:ascii="Times New Roman"/>
                      <w:sz w:val="21"/>
                      <w:lang w:val="en-US" w:eastAsia="zh-CN"/>
                    </w:rPr>
                    <w:t>4</w:t>
                  </w:r>
                  <w:r>
                    <w:rPr>
                      <w:rFonts w:ascii="Times New Roman"/>
                      <w:sz w:val="21"/>
                    </w:rPr>
                    <w:t>.0</w:t>
                  </w:r>
                </w:p>
              </w:tc>
              <w:tc>
                <w:tcPr>
                  <w:tcW w:w="1114" w:type="dxa"/>
                  <w:tcBorders>
                    <w:top w:val="single" w:color="000000" w:sz="4" w:space="0"/>
                    <w:left w:val="single" w:color="000000" w:sz="4" w:space="0"/>
                    <w:bottom w:val="single" w:color="000000" w:sz="4" w:space="0"/>
                    <w:right w:val="single" w:color="000000" w:sz="4" w:space="0"/>
                  </w:tcBorders>
                </w:tcPr>
                <w:p>
                  <w:pPr>
                    <w:pStyle w:val="15"/>
                    <w:spacing w:before="37"/>
                    <w:ind w:left="112" w:right="105"/>
                    <w:jc w:val="center"/>
                    <w:rPr>
                      <w:sz w:val="21"/>
                    </w:rPr>
                  </w:pPr>
                  <w:r>
                    <w:rPr>
                      <w:sz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430" w:type="dxa"/>
                  <w:vMerge w:val="continue"/>
                  <w:tcBorders>
                    <w:top w:val="nil"/>
                    <w:bottom w:val="single" w:color="000000" w:sz="4" w:space="0"/>
                    <w:right w:val="single" w:color="000000" w:sz="4" w:space="0"/>
                  </w:tcBorders>
                </w:tcPr>
                <w:p>
                  <w:pPr>
                    <w:rPr>
                      <w:sz w:val="2"/>
                      <w:szCs w:val="2"/>
                    </w:rPr>
                  </w:pPr>
                </w:p>
              </w:tc>
              <w:tc>
                <w:tcPr>
                  <w:tcW w:w="1130" w:type="dxa"/>
                  <w:vMerge w:val="continue"/>
                  <w:tcBorders>
                    <w:top w:val="nil"/>
                    <w:left w:val="single" w:color="000000" w:sz="4" w:space="0"/>
                    <w:right w:val="single" w:color="000000" w:sz="4" w:space="0"/>
                  </w:tcBorders>
                </w:tcPr>
                <w:p>
                  <w:pPr>
                    <w:rPr>
                      <w:sz w:val="2"/>
                      <w:szCs w:val="2"/>
                    </w:rPr>
                  </w:pPr>
                </w:p>
              </w:tc>
              <w:tc>
                <w:tcPr>
                  <w:tcW w:w="1783" w:type="dxa"/>
                  <w:tcBorders>
                    <w:top w:val="single" w:color="000000" w:sz="4" w:space="0"/>
                    <w:left w:val="single" w:color="000000" w:sz="4" w:space="0"/>
                    <w:bottom w:val="single" w:color="000000" w:sz="4" w:space="0"/>
                    <w:right w:val="single" w:color="000000" w:sz="4" w:space="0"/>
                  </w:tcBorders>
                </w:tcPr>
                <w:p>
                  <w:pPr>
                    <w:pStyle w:val="15"/>
                    <w:spacing w:before="35"/>
                    <w:ind w:left="206" w:right="202"/>
                    <w:jc w:val="center"/>
                    <w:rPr>
                      <w:rFonts w:ascii="Times New Roman" w:eastAsia="Times New Roman"/>
                      <w:sz w:val="13"/>
                    </w:rPr>
                  </w:pPr>
                  <w:r>
                    <w:rPr>
                      <w:sz w:val="21"/>
                    </w:rPr>
                    <w:t xml:space="preserve">厂界下风向 </w:t>
                  </w:r>
                  <w:r>
                    <w:rPr>
                      <w:rFonts w:ascii="Times New Roman" w:eastAsia="Times New Roman"/>
                      <w:sz w:val="21"/>
                    </w:rPr>
                    <w:t>1</w:t>
                  </w:r>
                  <w:r>
                    <w:rPr>
                      <w:rFonts w:ascii="Times New Roman" w:eastAsia="Times New Roman"/>
                      <w:position w:val="7"/>
                      <w:sz w:val="13"/>
                    </w:rPr>
                    <w:t>#</w:t>
                  </w:r>
                </w:p>
              </w:tc>
              <w:tc>
                <w:tcPr>
                  <w:tcW w:w="2420" w:type="dxa"/>
                  <w:tcBorders>
                    <w:top w:val="single" w:color="000000" w:sz="4" w:space="0"/>
                    <w:left w:val="single" w:color="000000" w:sz="4" w:space="0"/>
                    <w:bottom w:val="single" w:color="000000" w:sz="4" w:space="0"/>
                    <w:right w:val="single" w:color="000000" w:sz="4" w:space="0"/>
                  </w:tcBorders>
                </w:tcPr>
                <w:p>
                  <w:pPr>
                    <w:pStyle w:val="15"/>
                    <w:spacing w:before="51"/>
                    <w:ind w:left="131" w:right="125"/>
                    <w:jc w:val="center"/>
                    <w:rPr>
                      <w:rFonts w:hint="default" w:ascii="Times New Roman" w:eastAsia="宋体"/>
                      <w:sz w:val="21"/>
                      <w:lang w:val="en-US" w:eastAsia="zh-CN"/>
                    </w:rPr>
                  </w:pPr>
                  <w:r>
                    <w:rPr>
                      <w:rFonts w:hint="eastAsia" w:ascii="Times New Roman"/>
                      <w:sz w:val="21"/>
                      <w:lang w:val="en-US" w:eastAsia="zh-CN"/>
                    </w:rPr>
                    <w:t>1.23</w:t>
                  </w:r>
                </w:p>
              </w:tc>
              <w:tc>
                <w:tcPr>
                  <w:tcW w:w="1398"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5"/>
                    <w:spacing w:before="35"/>
                    <w:ind w:left="112" w:right="105"/>
                    <w:jc w:val="center"/>
                    <w:rPr>
                      <w:sz w:val="21"/>
                    </w:rPr>
                  </w:pPr>
                  <w:r>
                    <w:rPr>
                      <w:sz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trPr>
              <w:tc>
                <w:tcPr>
                  <w:tcW w:w="1430" w:type="dxa"/>
                  <w:vMerge w:val="continue"/>
                  <w:tcBorders>
                    <w:top w:val="nil"/>
                    <w:bottom w:val="single" w:color="000000" w:sz="4" w:space="0"/>
                    <w:right w:val="single" w:color="000000" w:sz="4" w:space="0"/>
                  </w:tcBorders>
                </w:tcPr>
                <w:p>
                  <w:pPr>
                    <w:rPr>
                      <w:sz w:val="2"/>
                      <w:szCs w:val="2"/>
                    </w:rPr>
                  </w:pPr>
                </w:p>
              </w:tc>
              <w:tc>
                <w:tcPr>
                  <w:tcW w:w="1130" w:type="dxa"/>
                  <w:vMerge w:val="continue"/>
                  <w:tcBorders>
                    <w:top w:val="nil"/>
                    <w:left w:val="single" w:color="000000" w:sz="4" w:space="0"/>
                    <w:right w:val="single" w:color="000000" w:sz="4" w:space="0"/>
                  </w:tcBorders>
                </w:tcPr>
                <w:p>
                  <w:pPr>
                    <w:rPr>
                      <w:sz w:val="2"/>
                      <w:szCs w:val="2"/>
                    </w:rPr>
                  </w:pPr>
                </w:p>
              </w:tc>
              <w:tc>
                <w:tcPr>
                  <w:tcW w:w="1783" w:type="dxa"/>
                  <w:tcBorders>
                    <w:top w:val="single" w:color="000000" w:sz="4" w:space="0"/>
                    <w:left w:val="single" w:color="000000" w:sz="4" w:space="0"/>
                    <w:bottom w:val="single" w:color="000000" w:sz="4" w:space="0"/>
                    <w:right w:val="single" w:color="000000" w:sz="4" w:space="0"/>
                  </w:tcBorders>
                </w:tcPr>
                <w:p>
                  <w:pPr>
                    <w:pStyle w:val="15"/>
                    <w:spacing w:before="37"/>
                    <w:ind w:left="206" w:right="202"/>
                    <w:jc w:val="center"/>
                    <w:rPr>
                      <w:rFonts w:ascii="Times New Roman" w:eastAsia="Times New Roman"/>
                      <w:sz w:val="13"/>
                    </w:rPr>
                  </w:pPr>
                  <w:r>
                    <w:rPr>
                      <w:sz w:val="21"/>
                    </w:rPr>
                    <w:t xml:space="preserve">厂界下风向 </w:t>
                  </w:r>
                  <w:r>
                    <w:rPr>
                      <w:rFonts w:ascii="Times New Roman" w:eastAsia="Times New Roman"/>
                      <w:sz w:val="21"/>
                    </w:rPr>
                    <w:t>2</w:t>
                  </w:r>
                  <w:r>
                    <w:rPr>
                      <w:rFonts w:ascii="Times New Roman" w:eastAsia="Times New Roman"/>
                      <w:position w:val="7"/>
                      <w:sz w:val="13"/>
                    </w:rPr>
                    <w:t>#</w:t>
                  </w:r>
                </w:p>
              </w:tc>
              <w:tc>
                <w:tcPr>
                  <w:tcW w:w="2420" w:type="dxa"/>
                  <w:tcBorders>
                    <w:top w:val="single" w:color="000000" w:sz="4" w:space="0"/>
                    <w:left w:val="single" w:color="000000" w:sz="4" w:space="0"/>
                    <w:bottom w:val="single" w:color="000000" w:sz="4" w:space="0"/>
                    <w:right w:val="single" w:color="000000" w:sz="4" w:space="0"/>
                  </w:tcBorders>
                </w:tcPr>
                <w:p>
                  <w:pPr>
                    <w:pStyle w:val="15"/>
                    <w:spacing w:before="52"/>
                    <w:ind w:left="131" w:right="125"/>
                    <w:jc w:val="center"/>
                    <w:rPr>
                      <w:rFonts w:hint="default" w:ascii="Times New Roman" w:eastAsia="宋体"/>
                      <w:sz w:val="21"/>
                      <w:lang w:val="en-US" w:eastAsia="zh-CN"/>
                    </w:rPr>
                  </w:pPr>
                  <w:r>
                    <w:rPr>
                      <w:rFonts w:hint="eastAsia" w:ascii="Times New Roman"/>
                      <w:sz w:val="21"/>
                      <w:lang w:val="en-US" w:eastAsia="zh-CN"/>
                    </w:rPr>
                    <w:t>1.11</w:t>
                  </w:r>
                </w:p>
              </w:tc>
              <w:tc>
                <w:tcPr>
                  <w:tcW w:w="1398"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5"/>
                    <w:spacing w:before="37"/>
                    <w:ind w:left="112" w:right="105"/>
                    <w:jc w:val="center"/>
                    <w:rPr>
                      <w:sz w:val="21"/>
                    </w:rPr>
                  </w:pPr>
                  <w:r>
                    <w:rPr>
                      <w:sz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30" w:type="dxa"/>
                  <w:vMerge w:val="continue"/>
                  <w:tcBorders>
                    <w:top w:val="nil"/>
                    <w:bottom w:val="single" w:color="000000" w:sz="4" w:space="0"/>
                    <w:right w:val="single" w:color="000000" w:sz="4" w:space="0"/>
                  </w:tcBorders>
                </w:tcPr>
                <w:p>
                  <w:pPr>
                    <w:rPr>
                      <w:sz w:val="2"/>
                      <w:szCs w:val="2"/>
                    </w:rPr>
                  </w:pPr>
                </w:p>
              </w:tc>
              <w:tc>
                <w:tcPr>
                  <w:tcW w:w="1130" w:type="dxa"/>
                  <w:vMerge w:val="continue"/>
                  <w:tcBorders>
                    <w:top w:val="nil"/>
                    <w:left w:val="single" w:color="000000" w:sz="4" w:space="0"/>
                    <w:right w:val="single" w:color="000000" w:sz="4" w:space="0"/>
                  </w:tcBorders>
                </w:tcPr>
                <w:p>
                  <w:pPr>
                    <w:rPr>
                      <w:sz w:val="2"/>
                      <w:szCs w:val="2"/>
                    </w:rPr>
                  </w:pPr>
                </w:p>
              </w:tc>
              <w:tc>
                <w:tcPr>
                  <w:tcW w:w="1783" w:type="dxa"/>
                  <w:tcBorders>
                    <w:top w:val="single" w:color="000000" w:sz="4" w:space="0"/>
                    <w:left w:val="single" w:color="000000" w:sz="4" w:space="0"/>
                    <w:bottom w:val="single" w:color="000000" w:sz="4" w:space="0"/>
                    <w:right w:val="single" w:color="000000" w:sz="4" w:space="0"/>
                  </w:tcBorders>
                </w:tcPr>
                <w:p>
                  <w:pPr>
                    <w:pStyle w:val="15"/>
                    <w:spacing w:before="37"/>
                    <w:ind w:left="206" w:right="202"/>
                    <w:jc w:val="center"/>
                    <w:rPr>
                      <w:rFonts w:ascii="Times New Roman" w:eastAsia="Times New Roman"/>
                      <w:sz w:val="13"/>
                    </w:rPr>
                  </w:pPr>
                  <w:r>
                    <w:rPr>
                      <w:sz w:val="21"/>
                    </w:rPr>
                    <w:t xml:space="preserve">厂界下风向 </w:t>
                  </w:r>
                  <w:r>
                    <w:rPr>
                      <w:rFonts w:ascii="Times New Roman" w:eastAsia="Times New Roman"/>
                      <w:sz w:val="21"/>
                    </w:rPr>
                    <w:t>3</w:t>
                  </w:r>
                  <w:r>
                    <w:rPr>
                      <w:rFonts w:ascii="Times New Roman" w:eastAsia="Times New Roman"/>
                      <w:position w:val="7"/>
                      <w:sz w:val="13"/>
                    </w:rPr>
                    <w:t>#</w:t>
                  </w:r>
                </w:p>
              </w:tc>
              <w:tc>
                <w:tcPr>
                  <w:tcW w:w="2420" w:type="dxa"/>
                  <w:tcBorders>
                    <w:top w:val="single" w:color="000000" w:sz="4" w:space="0"/>
                    <w:left w:val="single" w:color="000000" w:sz="4" w:space="0"/>
                    <w:bottom w:val="single" w:color="000000" w:sz="4" w:space="0"/>
                    <w:right w:val="single" w:color="000000" w:sz="4" w:space="0"/>
                  </w:tcBorders>
                </w:tcPr>
                <w:p>
                  <w:pPr>
                    <w:pStyle w:val="15"/>
                    <w:spacing w:before="52"/>
                    <w:ind w:left="131" w:right="125"/>
                    <w:jc w:val="center"/>
                    <w:rPr>
                      <w:rFonts w:hint="default" w:ascii="Times New Roman" w:eastAsia="宋体"/>
                      <w:sz w:val="21"/>
                      <w:lang w:val="en-US" w:eastAsia="zh-CN"/>
                    </w:rPr>
                  </w:pPr>
                  <w:r>
                    <w:rPr>
                      <w:rFonts w:hint="eastAsia" w:ascii="Times New Roman"/>
                      <w:sz w:val="21"/>
                      <w:lang w:val="en-US" w:eastAsia="zh-CN"/>
                    </w:rPr>
                    <w:t>1.27</w:t>
                  </w:r>
                </w:p>
              </w:tc>
              <w:tc>
                <w:tcPr>
                  <w:tcW w:w="1398"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5"/>
                    <w:spacing w:before="37"/>
                    <w:ind w:left="112" w:right="105"/>
                    <w:jc w:val="center"/>
                    <w:rPr>
                      <w:sz w:val="21"/>
                    </w:rPr>
                  </w:pPr>
                  <w:r>
                    <w:rPr>
                      <w:sz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430" w:type="dxa"/>
                  <w:vMerge w:val="restart"/>
                  <w:tcBorders>
                    <w:top w:val="single" w:color="000000" w:sz="4" w:space="0"/>
                    <w:right w:val="single" w:color="000000" w:sz="4" w:space="0"/>
                  </w:tcBorders>
                </w:tcPr>
                <w:p>
                  <w:pPr>
                    <w:pStyle w:val="15"/>
                    <w:rPr>
                      <w:rFonts w:ascii="Times New Roman"/>
                      <w:b/>
                      <w:sz w:val="22"/>
                    </w:rPr>
                  </w:pPr>
                </w:p>
                <w:p>
                  <w:pPr>
                    <w:pStyle w:val="15"/>
                    <w:spacing w:before="191"/>
                    <w:ind w:left="168" w:right="163"/>
                    <w:jc w:val="center"/>
                    <w:rPr>
                      <w:sz w:val="21"/>
                    </w:rPr>
                  </w:pPr>
                  <w:r>
                    <w:rPr>
                      <w:rFonts w:ascii="Times New Roman" w:eastAsia="Times New Roman"/>
                      <w:sz w:val="21"/>
                    </w:rPr>
                    <w:t xml:space="preserve">2021 </w:t>
                  </w:r>
                  <w:r>
                    <w:rPr>
                      <w:sz w:val="21"/>
                    </w:rPr>
                    <w:t>年</w:t>
                  </w:r>
                </w:p>
                <w:p>
                  <w:pPr>
                    <w:pStyle w:val="15"/>
                    <w:spacing w:before="3"/>
                    <w:ind w:left="168" w:right="163"/>
                    <w:jc w:val="center"/>
                    <w:rPr>
                      <w:sz w:val="21"/>
                    </w:rPr>
                  </w:pPr>
                  <w:r>
                    <w:rPr>
                      <w:rFonts w:ascii="Times New Roman" w:eastAsia="Times New Roman"/>
                      <w:sz w:val="21"/>
                    </w:rPr>
                    <w:t>1</w:t>
                  </w:r>
                  <w:r>
                    <w:rPr>
                      <w:rFonts w:hint="eastAsia" w:ascii="Times New Roman"/>
                      <w:sz w:val="21"/>
                      <w:lang w:val="en-US" w:eastAsia="zh-CN"/>
                    </w:rPr>
                    <w:t>2</w:t>
                  </w:r>
                  <w:r>
                    <w:rPr>
                      <w:sz w:val="21"/>
                    </w:rPr>
                    <w:t>月</w:t>
                  </w:r>
                  <w:r>
                    <w:rPr>
                      <w:rFonts w:hint="eastAsia" w:ascii="Times New Roman"/>
                      <w:sz w:val="21"/>
                      <w:lang w:val="en-US" w:eastAsia="zh-CN"/>
                    </w:rPr>
                    <w:t>07</w:t>
                  </w:r>
                  <w:r>
                    <w:rPr>
                      <w:rFonts w:ascii="Times New Roman" w:eastAsia="Times New Roman"/>
                      <w:sz w:val="21"/>
                    </w:rPr>
                    <w:t xml:space="preserve"> </w:t>
                  </w:r>
                  <w:r>
                    <w:rPr>
                      <w:sz w:val="21"/>
                    </w:rPr>
                    <w:t>日</w:t>
                  </w:r>
                </w:p>
              </w:tc>
              <w:tc>
                <w:tcPr>
                  <w:tcW w:w="1130" w:type="dxa"/>
                  <w:vMerge w:val="continue"/>
                  <w:tcBorders>
                    <w:top w:val="nil"/>
                    <w:left w:val="single" w:color="000000" w:sz="4" w:space="0"/>
                    <w:right w:val="single" w:color="000000" w:sz="4" w:space="0"/>
                  </w:tcBorders>
                </w:tcPr>
                <w:p>
                  <w:pPr>
                    <w:rPr>
                      <w:sz w:val="2"/>
                      <w:szCs w:val="2"/>
                    </w:rPr>
                  </w:pPr>
                </w:p>
              </w:tc>
              <w:tc>
                <w:tcPr>
                  <w:tcW w:w="1783" w:type="dxa"/>
                  <w:tcBorders>
                    <w:top w:val="single" w:color="000000" w:sz="4" w:space="0"/>
                    <w:left w:val="single" w:color="000000" w:sz="4" w:space="0"/>
                    <w:bottom w:val="single" w:color="000000" w:sz="4" w:space="0"/>
                    <w:right w:val="single" w:color="000000" w:sz="4" w:space="0"/>
                  </w:tcBorders>
                </w:tcPr>
                <w:p>
                  <w:pPr>
                    <w:pStyle w:val="15"/>
                    <w:spacing w:before="35"/>
                    <w:ind w:left="204" w:right="202"/>
                    <w:jc w:val="center"/>
                    <w:rPr>
                      <w:sz w:val="21"/>
                    </w:rPr>
                  </w:pPr>
                  <w:r>
                    <w:rPr>
                      <w:sz w:val="21"/>
                    </w:rPr>
                    <w:t>厂界上风向</w:t>
                  </w:r>
                </w:p>
              </w:tc>
              <w:tc>
                <w:tcPr>
                  <w:tcW w:w="2420" w:type="dxa"/>
                  <w:tcBorders>
                    <w:top w:val="single" w:color="000000" w:sz="4" w:space="0"/>
                    <w:left w:val="single" w:color="000000" w:sz="4" w:space="0"/>
                    <w:bottom w:val="single" w:color="000000" w:sz="4" w:space="0"/>
                    <w:right w:val="single" w:color="000000" w:sz="4" w:space="0"/>
                  </w:tcBorders>
                </w:tcPr>
                <w:p>
                  <w:pPr>
                    <w:pStyle w:val="15"/>
                    <w:spacing w:before="51"/>
                    <w:ind w:left="131" w:right="125"/>
                    <w:jc w:val="center"/>
                    <w:rPr>
                      <w:rFonts w:hint="default" w:ascii="Times New Roman" w:eastAsia="宋体"/>
                      <w:sz w:val="21"/>
                      <w:lang w:val="en-US" w:eastAsia="zh-CN"/>
                    </w:rPr>
                  </w:pPr>
                  <w:r>
                    <w:rPr>
                      <w:rFonts w:hint="eastAsia" w:ascii="Times New Roman"/>
                      <w:sz w:val="21"/>
                      <w:lang w:val="en-US" w:eastAsia="zh-CN"/>
                    </w:rPr>
                    <w:t>1.15</w:t>
                  </w:r>
                </w:p>
              </w:tc>
              <w:tc>
                <w:tcPr>
                  <w:tcW w:w="1398"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5"/>
                    <w:spacing w:before="35"/>
                    <w:ind w:left="112" w:right="105"/>
                    <w:jc w:val="center"/>
                    <w:rPr>
                      <w:sz w:val="21"/>
                    </w:rPr>
                  </w:pPr>
                  <w:r>
                    <w:rPr>
                      <w:sz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430" w:type="dxa"/>
                  <w:vMerge w:val="continue"/>
                  <w:tcBorders>
                    <w:top w:val="nil"/>
                    <w:right w:val="single" w:color="000000" w:sz="4" w:space="0"/>
                  </w:tcBorders>
                </w:tcPr>
                <w:p>
                  <w:pPr>
                    <w:rPr>
                      <w:sz w:val="2"/>
                      <w:szCs w:val="2"/>
                    </w:rPr>
                  </w:pPr>
                </w:p>
              </w:tc>
              <w:tc>
                <w:tcPr>
                  <w:tcW w:w="1130" w:type="dxa"/>
                  <w:vMerge w:val="continue"/>
                  <w:tcBorders>
                    <w:top w:val="nil"/>
                    <w:left w:val="single" w:color="000000" w:sz="4" w:space="0"/>
                    <w:right w:val="single" w:color="000000" w:sz="4" w:space="0"/>
                  </w:tcBorders>
                </w:tcPr>
                <w:p>
                  <w:pPr>
                    <w:rPr>
                      <w:sz w:val="2"/>
                      <w:szCs w:val="2"/>
                    </w:rPr>
                  </w:pPr>
                </w:p>
              </w:tc>
              <w:tc>
                <w:tcPr>
                  <w:tcW w:w="1783" w:type="dxa"/>
                  <w:tcBorders>
                    <w:top w:val="single" w:color="000000" w:sz="4" w:space="0"/>
                    <w:left w:val="single" w:color="000000" w:sz="4" w:space="0"/>
                    <w:bottom w:val="single" w:color="000000" w:sz="4" w:space="0"/>
                    <w:right w:val="single" w:color="000000" w:sz="4" w:space="0"/>
                  </w:tcBorders>
                </w:tcPr>
                <w:p>
                  <w:pPr>
                    <w:pStyle w:val="15"/>
                    <w:spacing w:before="37"/>
                    <w:ind w:left="206" w:right="202"/>
                    <w:jc w:val="center"/>
                    <w:rPr>
                      <w:rFonts w:ascii="Times New Roman" w:eastAsia="Times New Roman"/>
                      <w:sz w:val="13"/>
                    </w:rPr>
                  </w:pPr>
                  <w:r>
                    <w:rPr>
                      <w:sz w:val="21"/>
                    </w:rPr>
                    <w:t xml:space="preserve">厂界下风向 </w:t>
                  </w:r>
                  <w:r>
                    <w:rPr>
                      <w:rFonts w:ascii="Times New Roman" w:eastAsia="Times New Roman"/>
                      <w:sz w:val="21"/>
                    </w:rPr>
                    <w:t>1</w:t>
                  </w:r>
                  <w:r>
                    <w:rPr>
                      <w:rFonts w:ascii="Times New Roman" w:eastAsia="Times New Roman"/>
                      <w:position w:val="7"/>
                      <w:sz w:val="13"/>
                    </w:rPr>
                    <w:t>#</w:t>
                  </w:r>
                </w:p>
              </w:tc>
              <w:tc>
                <w:tcPr>
                  <w:tcW w:w="2420" w:type="dxa"/>
                  <w:tcBorders>
                    <w:top w:val="single" w:color="000000" w:sz="4" w:space="0"/>
                    <w:left w:val="single" w:color="000000" w:sz="4" w:space="0"/>
                    <w:bottom w:val="single" w:color="000000" w:sz="4" w:space="0"/>
                    <w:right w:val="single" w:color="000000" w:sz="4" w:space="0"/>
                  </w:tcBorders>
                </w:tcPr>
                <w:p>
                  <w:pPr>
                    <w:pStyle w:val="15"/>
                    <w:spacing w:before="52"/>
                    <w:ind w:left="131" w:right="125"/>
                    <w:jc w:val="center"/>
                    <w:rPr>
                      <w:rFonts w:hint="default" w:ascii="Times New Roman" w:eastAsia="宋体"/>
                      <w:sz w:val="21"/>
                      <w:lang w:val="en-US" w:eastAsia="zh-CN"/>
                    </w:rPr>
                  </w:pPr>
                  <w:r>
                    <w:rPr>
                      <w:rFonts w:hint="eastAsia" w:ascii="Times New Roman"/>
                      <w:sz w:val="21"/>
                      <w:lang w:val="en-US" w:eastAsia="zh-CN"/>
                    </w:rPr>
                    <w:t>0.94</w:t>
                  </w:r>
                </w:p>
              </w:tc>
              <w:tc>
                <w:tcPr>
                  <w:tcW w:w="1398"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5"/>
                    <w:spacing w:before="37"/>
                    <w:ind w:left="112" w:right="105"/>
                    <w:jc w:val="center"/>
                    <w:rPr>
                      <w:sz w:val="21"/>
                    </w:rPr>
                  </w:pPr>
                  <w:r>
                    <w:rPr>
                      <w:sz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30" w:type="dxa"/>
                  <w:vMerge w:val="continue"/>
                  <w:tcBorders>
                    <w:top w:val="nil"/>
                    <w:right w:val="single" w:color="000000" w:sz="4" w:space="0"/>
                  </w:tcBorders>
                </w:tcPr>
                <w:p>
                  <w:pPr>
                    <w:rPr>
                      <w:sz w:val="2"/>
                      <w:szCs w:val="2"/>
                    </w:rPr>
                  </w:pPr>
                </w:p>
              </w:tc>
              <w:tc>
                <w:tcPr>
                  <w:tcW w:w="1130" w:type="dxa"/>
                  <w:vMerge w:val="continue"/>
                  <w:tcBorders>
                    <w:top w:val="nil"/>
                    <w:left w:val="single" w:color="000000" w:sz="4" w:space="0"/>
                    <w:right w:val="single" w:color="000000" w:sz="4" w:space="0"/>
                  </w:tcBorders>
                </w:tcPr>
                <w:p>
                  <w:pPr>
                    <w:rPr>
                      <w:sz w:val="2"/>
                      <w:szCs w:val="2"/>
                    </w:rPr>
                  </w:pPr>
                </w:p>
              </w:tc>
              <w:tc>
                <w:tcPr>
                  <w:tcW w:w="1783" w:type="dxa"/>
                  <w:tcBorders>
                    <w:top w:val="single" w:color="000000" w:sz="4" w:space="0"/>
                    <w:left w:val="single" w:color="000000" w:sz="4" w:space="0"/>
                    <w:bottom w:val="single" w:color="000000" w:sz="4" w:space="0"/>
                    <w:right w:val="single" w:color="000000" w:sz="4" w:space="0"/>
                  </w:tcBorders>
                </w:tcPr>
                <w:p>
                  <w:pPr>
                    <w:pStyle w:val="15"/>
                    <w:spacing w:before="37"/>
                    <w:ind w:left="206" w:right="202"/>
                    <w:jc w:val="center"/>
                    <w:rPr>
                      <w:rFonts w:ascii="Times New Roman" w:eastAsia="Times New Roman"/>
                      <w:sz w:val="13"/>
                    </w:rPr>
                  </w:pPr>
                  <w:r>
                    <w:rPr>
                      <w:sz w:val="21"/>
                    </w:rPr>
                    <w:t xml:space="preserve">厂界下风向 </w:t>
                  </w:r>
                  <w:r>
                    <w:rPr>
                      <w:rFonts w:ascii="Times New Roman" w:eastAsia="Times New Roman"/>
                      <w:sz w:val="21"/>
                    </w:rPr>
                    <w:t>2</w:t>
                  </w:r>
                  <w:r>
                    <w:rPr>
                      <w:rFonts w:ascii="Times New Roman" w:eastAsia="Times New Roman"/>
                      <w:position w:val="7"/>
                      <w:sz w:val="13"/>
                    </w:rPr>
                    <w:t>#</w:t>
                  </w:r>
                </w:p>
              </w:tc>
              <w:tc>
                <w:tcPr>
                  <w:tcW w:w="2420" w:type="dxa"/>
                  <w:tcBorders>
                    <w:top w:val="single" w:color="000000" w:sz="4" w:space="0"/>
                    <w:left w:val="single" w:color="000000" w:sz="4" w:space="0"/>
                    <w:bottom w:val="single" w:color="000000" w:sz="4" w:space="0"/>
                    <w:right w:val="single" w:color="000000" w:sz="4" w:space="0"/>
                  </w:tcBorders>
                </w:tcPr>
                <w:p>
                  <w:pPr>
                    <w:pStyle w:val="15"/>
                    <w:spacing w:before="52"/>
                    <w:ind w:left="131" w:right="125"/>
                    <w:jc w:val="center"/>
                    <w:rPr>
                      <w:rFonts w:hint="default" w:ascii="Times New Roman" w:eastAsia="宋体"/>
                      <w:sz w:val="21"/>
                      <w:lang w:val="en-US" w:eastAsia="zh-CN"/>
                    </w:rPr>
                  </w:pPr>
                  <w:r>
                    <w:rPr>
                      <w:rFonts w:hint="eastAsia" w:ascii="Times New Roman"/>
                      <w:sz w:val="21"/>
                      <w:lang w:val="en-US" w:eastAsia="zh-CN"/>
                    </w:rPr>
                    <w:t>1.07</w:t>
                  </w:r>
                </w:p>
              </w:tc>
              <w:tc>
                <w:tcPr>
                  <w:tcW w:w="1398"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bottom w:val="single" w:color="000000" w:sz="4" w:space="0"/>
                    <w:right w:val="single" w:color="000000" w:sz="4" w:space="0"/>
                  </w:tcBorders>
                </w:tcPr>
                <w:p>
                  <w:pPr>
                    <w:pStyle w:val="15"/>
                    <w:spacing w:before="37"/>
                    <w:ind w:left="112" w:right="105"/>
                    <w:jc w:val="center"/>
                    <w:rPr>
                      <w:sz w:val="21"/>
                    </w:rPr>
                  </w:pPr>
                  <w:r>
                    <w:rPr>
                      <w:sz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430" w:type="dxa"/>
                  <w:vMerge w:val="continue"/>
                  <w:tcBorders>
                    <w:top w:val="nil"/>
                    <w:right w:val="single" w:color="000000" w:sz="4" w:space="0"/>
                  </w:tcBorders>
                </w:tcPr>
                <w:p>
                  <w:pPr>
                    <w:rPr>
                      <w:sz w:val="2"/>
                      <w:szCs w:val="2"/>
                    </w:rPr>
                  </w:pPr>
                </w:p>
              </w:tc>
              <w:tc>
                <w:tcPr>
                  <w:tcW w:w="1130" w:type="dxa"/>
                  <w:vMerge w:val="continue"/>
                  <w:tcBorders>
                    <w:top w:val="nil"/>
                    <w:left w:val="single" w:color="000000" w:sz="4" w:space="0"/>
                    <w:right w:val="single" w:color="000000" w:sz="4" w:space="0"/>
                  </w:tcBorders>
                </w:tcPr>
                <w:p>
                  <w:pPr>
                    <w:rPr>
                      <w:sz w:val="2"/>
                      <w:szCs w:val="2"/>
                    </w:rPr>
                  </w:pPr>
                </w:p>
              </w:tc>
              <w:tc>
                <w:tcPr>
                  <w:tcW w:w="1783" w:type="dxa"/>
                  <w:tcBorders>
                    <w:top w:val="single" w:color="000000" w:sz="4" w:space="0"/>
                    <w:left w:val="single" w:color="000000" w:sz="4" w:space="0"/>
                    <w:right w:val="single" w:color="000000" w:sz="4" w:space="0"/>
                  </w:tcBorders>
                </w:tcPr>
                <w:p>
                  <w:pPr>
                    <w:pStyle w:val="15"/>
                    <w:spacing w:before="43"/>
                    <w:ind w:left="206" w:right="202"/>
                    <w:jc w:val="center"/>
                    <w:rPr>
                      <w:rFonts w:ascii="Times New Roman" w:eastAsia="Times New Roman"/>
                      <w:sz w:val="13"/>
                    </w:rPr>
                  </w:pPr>
                  <w:r>
                    <w:rPr>
                      <w:sz w:val="21"/>
                    </w:rPr>
                    <w:t xml:space="preserve">厂界下风向 </w:t>
                  </w:r>
                  <w:r>
                    <w:rPr>
                      <w:rFonts w:ascii="Times New Roman" w:eastAsia="Times New Roman"/>
                      <w:sz w:val="21"/>
                    </w:rPr>
                    <w:t>3</w:t>
                  </w:r>
                  <w:r>
                    <w:rPr>
                      <w:rFonts w:ascii="Times New Roman" w:eastAsia="Times New Roman"/>
                      <w:position w:val="7"/>
                      <w:sz w:val="13"/>
                    </w:rPr>
                    <w:t>#</w:t>
                  </w:r>
                </w:p>
              </w:tc>
              <w:tc>
                <w:tcPr>
                  <w:tcW w:w="2420" w:type="dxa"/>
                  <w:tcBorders>
                    <w:top w:val="single" w:color="000000" w:sz="4" w:space="0"/>
                    <w:left w:val="single" w:color="000000" w:sz="4" w:space="0"/>
                    <w:right w:val="single" w:color="000000" w:sz="4" w:space="0"/>
                  </w:tcBorders>
                </w:tcPr>
                <w:p>
                  <w:pPr>
                    <w:pStyle w:val="15"/>
                    <w:spacing w:before="57"/>
                    <w:ind w:left="131" w:right="125"/>
                    <w:jc w:val="center"/>
                    <w:rPr>
                      <w:rFonts w:hint="default" w:ascii="Times New Roman" w:eastAsia="宋体"/>
                      <w:sz w:val="21"/>
                      <w:lang w:val="en-US" w:eastAsia="zh-CN"/>
                    </w:rPr>
                  </w:pPr>
                  <w:r>
                    <w:rPr>
                      <w:rFonts w:hint="eastAsia" w:ascii="Times New Roman"/>
                      <w:sz w:val="21"/>
                      <w:lang w:val="en-US" w:eastAsia="zh-CN"/>
                    </w:rPr>
                    <w:t>0.80</w:t>
                  </w:r>
                </w:p>
              </w:tc>
              <w:tc>
                <w:tcPr>
                  <w:tcW w:w="1398" w:type="dxa"/>
                  <w:vMerge w:val="continue"/>
                  <w:tcBorders>
                    <w:top w:val="nil"/>
                    <w:left w:val="single" w:color="000000" w:sz="4" w:space="0"/>
                    <w:right w:val="single" w:color="000000" w:sz="4" w:space="0"/>
                  </w:tcBorders>
                </w:tcPr>
                <w:p>
                  <w:pPr>
                    <w:rPr>
                      <w:sz w:val="2"/>
                      <w:szCs w:val="2"/>
                    </w:rPr>
                  </w:pPr>
                </w:p>
              </w:tc>
              <w:tc>
                <w:tcPr>
                  <w:tcW w:w="1114" w:type="dxa"/>
                  <w:tcBorders>
                    <w:top w:val="single" w:color="000000" w:sz="4" w:space="0"/>
                    <w:left w:val="single" w:color="000000" w:sz="4" w:space="0"/>
                    <w:right w:val="single" w:color="000000" w:sz="4" w:space="0"/>
                  </w:tcBorders>
                </w:tcPr>
                <w:p>
                  <w:pPr>
                    <w:pStyle w:val="15"/>
                    <w:spacing w:before="43"/>
                    <w:ind w:left="112" w:right="105"/>
                    <w:jc w:val="center"/>
                    <w:rPr>
                      <w:sz w:val="21"/>
                    </w:rPr>
                  </w:pPr>
                  <w:r>
                    <w:rPr>
                      <w:sz w:val="21"/>
                    </w:rPr>
                    <w:t>达标</w:t>
                  </w:r>
                </w:p>
              </w:tc>
            </w:tr>
          </w:tbl>
          <w:p>
            <w:pPr>
              <w:pStyle w:val="5"/>
              <w:spacing w:line="364" w:lineRule="auto"/>
              <w:ind w:left="229" w:right="124" w:firstLine="480"/>
            </w:pPr>
            <w:r>
              <w:rPr>
                <w:spacing w:val="-17"/>
              </w:rPr>
              <w:t xml:space="preserve">根据表 </w:t>
            </w:r>
            <w:r>
              <w:rPr>
                <w:rFonts w:ascii="Times New Roman" w:eastAsia="Times New Roman"/>
              </w:rPr>
              <w:t>7-</w:t>
            </w:r>
            <w:r>
              <w:rPr>
                <w:rFonts w:hint="eastAsia" w:ascii="Times New Roman"/>
                <w:spacing w:val="-2"/>
                <w:lang w:val="en-US" w:eastAsia="zh-CN"/>
              </w:rPr>
              <w:t>4</w:t>
            </w:r>
            <w:r>
              <w:rPr>
                <w:spacing w:val="-14"/>
              </w:rPr>
              <w:t>，项目厂界无组织排放废气中颗粒物周界外浓度最高点浓度为</w:t>
            </w:r>
            <w:r>
              <w:rPr>
                <w:rFonts w:hint="default" w:ascii="Times New Roman" w:hAnsi="Times New Roman" w:cs="Times New Roman"/>
                <w:spacing w:val="-14"/>
                <w:lang w:val="en-US" w:eastAsia="zh-CN"/>
              </w:rPr>
              <w:t>1.27</w:t>
            </w:r>
            <w:r>
              <w:rPr>
                <w:rFonts w:ascii="Times New Roman" w:eastAsia="Times New Roman"/>
                <w:spacing w:val="-1"/>
              </w:rPr>
              <w:t>mg/m</w:t>
            </w:r>
            <w:r>
              <w:rPr>
                <w:rFonts w:ascii="Times New Roman" w:eastAsia="Times New Roman"/>
                <w:w w:val="103"/>
                <w:position w:val="8"/>
                <w:sz w:val="15"/>
              </w:rPr>
              <w:t>3</w:t>
            </w:r>
            <w:r>
              <w:t>。</w:t>
            </w:r>
            <w:r>
              <w:rPr>
                <w:spacing w:val="2"/>
              </w:rPr>
              <w:t>无组织废气颗粒物浓度均低于《大气污染物综合排放标准》</w:t>
            </w:r>
            <w:r>
              <w:t>（</w:t>
            </w:r>
            <w:r>
              <w:rPr>
                <w:rFonts w:ascii="Times New Roman" w:eastAsia="Times New Roman"/>
              </w:rPr>
              <w:t>GB16297-1996</w:t>
            </w:r>
            <w:r>
              <w:t>）</w:t>
            </w:r>
            <w:r>
              <w:rPr>
                <w:spacing w:val="3"/>
              </w:rPr>
              <w:t>无组织排</w:t>
            </w:r>
            <w:r>
              <w:t>放监控浓度限值要求，项目厂界无组织废气达标。</w:t>
            </w:r>
          </w:p>
          <w:p>
            <w:pPr>
              <w:pStyle w:val="3"/>
              <w:spacing w:before="118"/>
              <w:ind w:left="709"/>
            </w:pPr>
            <w:r>
              <w:rPr>
                <w:rFonts w:hint="eastAsia" w:ascii="Times New Roman"/>
                <w:lang w:val="en-US" w:eastAsia="zh-CN"/>
              </w:rPr>
              <w:t>3</w:t>
            </w:r>
            <w:r>
              <w:t>、厂界噪声监测结果</w:t>
            </w:r>
          </w:p>
          <w:p>
            <w:pPr>
              <w:pStyle w:val="5"/>
              <w:spacing w:before="159"/>
              <w:ind w:left="709"/>
            </w:pPr>
            <w:r>
              <w:t xml:space="preserve">项目厂界噪声检测结果见表 </w:t>
            </w:r>
            <w:r>
              <w:rPr>
                <w:rFonts w:ascii="Times New Roman" w:eastAsia="Times New Roman"/>
              </w:rPr>
              <w:t>7-</w:t>
            </w:r>
            <w:r>
              <w:rPr>
                <w:rFonts w:hint="eastAsia" w:ascii="Times New Roman"/>
                <w:lang w:val="en-US" w:eastAsia="zh-CN"/>
              </w:rPr>
              <w:t>5</w:t>
            </w:r>
            <w:r>
              <w:t>。</w:t>
            </w:r>
          </w:p>
          <w:p>
            <w:pPr>
              <w:pStyle w:val="5"/>
              <w:spacing w:before="159"/>
              <w:ind w:left="709"/>
              <w:jc w:val="center"/>
              <w:rPr>
                <w:b w:val="0"/>
                <w:bCs/>
              </w:rPr>
            </w:pPr>
            <w:r>
              <w:rPr>
                <w:b w:val="0"/>
                <w:bCs/>
                <w:sz w:val="21"/>
              </w:rPr>
              <w:t xml:space="preserve">表 </w:t>
            </w:r>
            <w:r>
              <w:rPr>
                <w:rFonts w:ascii="Times New Roman" w:eastAsia="Times New Roman"/>
                <w:b w:val="0"/>
                <w:bCs/>
                <w:sz w:val="21"/>
              </w:rPr>
              <w:t>7-</w:t>
            </w:r>
            <w:r>
              <w:rPr>
                <w:rFonts w:hint="eastAsia" w:ascii="Times New Roman"/>
                <w:b w:val="0"/>
                <w:bCs/>
                <w:sz w:val="21"/>
                <w:lang w:val="en-US" w:eastAsia="zh-CN"/>
              </w:rPr>
              <w:t>5</w:t>
            </w:r>
            <w:r>
              <w:rPr>
                <w:rFonts w:ascii="Times New Roman" w:eastAsia="Times New Roman"/>
                <w:b w:val="0"/>
                <w:bCs/>
                <w:sz w:val="21"/>
              </w:rPr>
              <w:t xml:space="preserve"> </w:t>
            </w:r>
            <w:r>
              <w:rPr>
                <w:b w:val="0"/>
                <w:bCs/>
                <w:sz w:val="21"/>
              </w:rPr>
              <w:t>噪声监测结果及评价</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40"/>
              <w:gridCol w:w="1076"/>
              <w:gridCol w:w="1814"/>
              <w:gridCol w:w="1417"/>
              <w:gridCol w:w="1214"/>
              <w:gridCol w:w="14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416" w:type="dxa"/>
                  <w:gridSpan w:val="2"/>
                  <w:vMerge w:val="restart"/>
                  <w:tcBorders>
                    <w:bottom w:val="single" w:color="000000" w:sz="6" w:space="0"/>
                    <w:right w:val="single" w:color="000000" w:sz="6" w:space="0"/>
                  </w:tcBorders>
                </w:tcPr>
                <w:p>
                  <w:pPr>
                    <w:pStyle w:val="15"/>
                    <w:ind w:left="1598"/>
                    <w:rPr>
                      <w:sz w:val="21"/>
                    </w:rPr>
                  </w:pPr>
                  <w:r>
                    <w:rPr>
                      <w:sz w:val="21"/>
                    </w:rPr>
                    <w:t>监测时间、结果</w:t>
                  </w:r>
                </w:p>
                <w:p>
                  <w:pPr>
                    <w:pStyle w:val="15"/>
                    <w:spacing w:before="3"/>
                    <w:ind w:left="107"/>
                    <w:rPr>
                      <w:sz w:val="21"/>
                    </w:rPr>
                  </w:pPr>
                  <w:r>
                    <w:rPr>
                      <w:sz w:val="21"/>
                    </w:rPr>
                    <w:t>监测点位</w:t>
                  </w:r>
                </w:p>
              </w:tc>
              <w:tc>
                <w:tcPr>
                  <w:tcW w:w="3231" w:type="dxa"/>
                  <w:gridSpan w:val="2"/>
                  <w:tcBorders>
                    <w:left w:val="single" w:color="000000" w:sz="6" w:space="0"/>
                    <w:bottom w:val="single" w:color="000000" w:sz="6" w:space="0"/>
                    <w:right w:val="single" w:color="000000" w:sz="6" w:space="0"/>
                  </w:tcBorders>
                </w:tcPr>
                <w:p>
                  <w:pPr>
                    <w:pStyle w:val="15"/>
                    <w:spacing w:before="32"/>
                    <w:ind w:left="1069" w:right="1057"/>
                    <w:jc w:val="center"/>
                    <w:rPr>
                      <w:sz w:val="21"/>
                    </w:rPr>
                  </w:pPr>
                  <w:r>
                    <w:rPr>
                      <w:rFonts w:ascii="Times New Roman" w:eastAsia="Times New Roman"/>
                      <w:sz w:val="21"/>
                    </w:rPr>
                    <w:t>1</w:t>
                  </w:r>
                  <w:r>
                    <w:rPr>
                      <w:rFonts w:hint="eastAsia" w:ascii="Times New Roman"/>
                      <w:sz w:val="21"/>
                      <w:lang w:val="en-US" w:eastAsia="zh-CN"/>
                    </w:rPr>
                    <w:t>2</w:t>
                  </w:r>
                  <w:r>
                    <w:rPr>
                      <w:rFonts w:ascii="Times New Roman" w:eastAsia="Times New Roman"/>
                      <w:sz w:val="21"/>
                    </w:rPr>
                    <w:t xml:space="preserve"> </w:t>
                  </w:r>
                  <w:r>
                    <w:rPr>
                      <w:sz w:val="21"/>
                    </w:rPr>
                    <w:t>月</w:t>
                  </w:r>
                  <w:r>
                    <w:rPr>
                      <w:rFonts w:hint="eastAsia" w:ascii="Times New Roman"/>
                      <w:sz w:val="21"/>
                      <w:lang w:val="en-US" w:eastAsia="zh-CN"/>
                    </w:rPr>
                    <w:t>06</w:t>
                  </w:r>
                  <w:r>
                    <w:rPr>
                      <w:sz w:val="21"/>
                    </w:rPr>
                    <w:t>日</w:t>
                  </w:r>
                </w:p>
              </w:tc>
              <w:tc>
                <w:tcPr>
                  <w:tcW w:w="2627" w:type="dxa"/>
                  <w:gridSpan w:val="2"/>
                  <w:tcBorders>
                    <w:left w:val="single" w:color="000000" w:sz="6" w:space="0"/>
                    <w:bottom w:val="single" w:color="000000" w:sz="6" w:space="0"/>
                  </w:tcBorders>
                </w:tcPr>
                <w:p>
                  <w:pPr>
                    <w:pStyle w:val="15"/>
                    <w:spacing w:before="32"/>
                    <w:ind w:left="816"/>
                    <w:rPr>
                      <w:sz w:val="21"/>
                    </w:rPr>
                  </w:pPr>
                  <w:r>
                    <w:rPr>
                      <w:rFonts w:hint="eastAsia" w:ascii="Times New Roman"/>
                      <w:sz w:val="21"/>
                      <w:lang w:val="en-US" w:eastAsia="zh-CN"/>
                    </w:rPr>
                    <w:t>12</w:t>
                  </w:r>
                  <w:r>
                    <w:rPr>
                      <w:sz w:val="21"/>
                    </w:rPr>
                    <w:t>月</w:t>
                  </w:r>
                  <w:r>
                    <w:rPr>
                      <w:rFonts w:hint="default" w:ascii="Times New Roman" w:hAnsi="Times New Roman" w:cs="Times New Roman"/>
                      <w:sz w:val="21"/>
                      <w:lang w:val="en-US" w:eastAsia="zh-CN"/>
                    </w:rPr>
                    <w:t>07</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3416" w:type="dxa"/>
                  <w:gridSpan w:val="2"/>
                  <w:vMerge w:val="continue"/>
                  <w:tcBorders>
                    <w:top w:val="nil"/>
                    <w:bottom w:val="single" w:color="000000" w:sz="6" w:space="0"/>
                    <w:right w:val="single" w:color="000000" w:sz="6" w:space="0"/>
                  </w:tcBorders>
                </w:tcPr>
                <w:p>
                  <w:pPr>
                    <w:rPr>
                      <w:sz w:val="2"/>
                      <w:szCs w:val="2"/>
                    </w:rPr>
                  </w:pP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11" w:line="264" w:lineRule="exact"/>
                    <w:ind w:left="673" w:right="665"/>
                    <w:jc w:val="center"/>
                    <w:rPr>
                      <w:sz w:val="21"/>
                    </w:rPr>
                  </w:pPr>
                  <w:r>
                    <w:rPr>
                      <w:sz w:val="21"/>
                    </w:rPr>
                    <w:t>昼间</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11" w:line="264" w:lineRule="exact"/>
                    <w:ind w:left="476" w:right="466"/>
                    <w:jc w:val="center"/>
                    <w:rPr>
                      <w:sz w:val="21"/>
                    </w:rPr>
                  </w:pPr>
                  <w:r>
                    <w:rPr>
                      <w:sz w:val="21"/>
                    </w:rPr>
                    <w:t>夜间</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11" w:line="264" w:lineRule="exact"/>
                    <w:ind w:left="375" w:right="364"/>
                    <w:jc w:val="center"/>
                    <w:rPr>
                      <w:sz w:val="21"/>
                    </w:rPr>
                  </w:pPr>
                  <w:r>
                    <w:rPr>
                      <w:sz w:val="21"/>
                    </w:rPr>
                    <w:t>昼间</w:t>
                  </w:r>
                </w:p>
              </w:tc>
              <w:tc>
                <w:tcPr>
                  <w:tcW w:w="1413" w:type="dxa"/>
                  <w:tcBorders>
                    <w:top w:val="single" w:color="000000" w:sz="6" w:space="0"/>
                    <w:left w:val="single" w:color="000000" w:sz="6" w:space="0"/>
                    <w:bottom w:val="single" w:color="000000" w:sz="6" w:space="0"/>
                  </w:tcBorders>
                </w:tcPr>
                <w:p>
                  <w:pPr>
                    <w:pStyle w:val="15"/>
                    <w:spacing w:before="11" w:line="264" w:lineRule="exact"/>
                    <w:ind w:left="474" w:right="466"/>
                    <w:jc w:val="center"/>
                    <w:rPr>
                      <w:sz w:val="21"/>
                    </w:rPr>
                  </w:pP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21"/>
                    <w:ind w:left="1372" w:right="544" w:rightChars="0"/>
                    <w:jc w:val="both"/>
                    <w:rPr>
                      <w:rFonts w:hint="default" w:eastAsia="宋体"/>
                      <w:sz w:val="21"/>
                      <w:lang w:val="en-US" w:eastAsia="zh-CN"/>
                    </w:rPr>
                  </w:pPr>
                  <w:r>
                    <w:rPr>
                      <w:sz w:val="21"/>
                    </w:rPr>
                    <w:t>厂界东</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36"/>
                    <w:ind w:left="673" w:right="665"/>
                    <w:jc w:val="center"/>
                    <w:rPr>
                      <w:rFonts w:hint="default" w:ascii="Times New Roman" w:eastAsia="宋体"/>
                      <w:sz w:val="21"/>
                      <w:lang w:val="en-US" w:eastAsia="zh-CN"/>
                    </w:rPr>
                  </w:pPr>
                  <w:r>
                    <w:rPr>
                      <w:rFonts w:hint="eastAsia" w:ascii="Times New Roman"/>
                      <w:sz w:val="21"/>
                      <w:lang w:val="en-US" w:eastAsia="zh-CN"/>
                    </w:rPr>
                    <w:t>52.2</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36"/>
                    <w:ind w:left="476" w:right="466"/>
                    <w:jc w:val="center"/>
                    <w:rPr>
                      <w:rFonts w:hint="default" w:ascii="Times New Roman" w:eastAsia="宋体"/>
                      <w:sz w:val="21"/>
                      <w:lang w:val="en-US" w:eastAsia="zh-CN"/>
                    </w:rPr>
                  </w:pPr>
                  <w:r>
                    <w:rPr>
                      <w:rFonts w:hint="eastAsia" w:ascii="Times New Roman"/>
                      <w:sz w:val="21"/>
                      <w:lang w:val="en-US" w:eastAsia="zh-CN"/>
                    </w:rPr>
                    <w:t>44.4</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36"/>
                    <w:ind w:left="374" w:right="364"/>
                    <w:jc w:val="center"/>
                    <w:rPr>
                      <w:rFonts w:hint="default" w:ascii="Times New Roman" w:eastAsia="宋体"/>
                      <w:sz w:val="21"/>
                      <w:lang w:val="en-US" w:eastAsia="zh-CN"/>
                    </w:rPr>
                  </w:pPr>
                  <w:r>
                    <w:rPr>
                      <w:rFonts w:hint="eastAsia" w:ascii="Times New Roman"/>
                      <w:sz w:val="21"/>
                      <w:lang w:val="en-US" w:eastAsia="zh-CN"/>
                    </w:rPr>
                    <w:t>52.9</w:t>
                  </w:r>
                </w:p>
              </w:tc>
              <w:tc>
                <w:tcPr>
                  <w:tcW w:w="1413" w:type="dxa"/>
                  <w:tcBorders>
                    <w:top w:val="single" w:color="000000" w:sz="6" w:space="0"/>
                    <w:left w:val="single" w:color="000000" w:sz="6" w:space="0"/>
                    <w:bottom w:val="single" w:color="000000" w:sz="6" w:space="0"/>
                  </w:tcBorders>
                </w:tcPr>
                <w:p>
                  <w:pPr>
                    <w:pStyle w:val="15"/>
                    <w:spacing w:before="36"/>
                    <w:ind w:left="474" w:right="465"/>
                    <w:jc w:val="center"/>
                    <w:rPr>
                      <w:rFonts w:hint="default" w:ascii="Times New Roman" w:eastAsia="宋体"/>
                      <w:sz w:val="21"/>
                      <w:lang w:val="en-US" w:eastAsia="zh-CN"/>
                    </w:rPr>
                  </w:pPr>
                  <w:r>
                    <w:rPr>
                      <w:rFonts w:hint="eastAsia" w:ascii="Times New Roman"/>
                      <w:sz w:val="21"/>
                      <w:lang w:val="en-US" w:eastAsia="zh-CN"/>
                    </w:rPr>
                    <w:t>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7"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32"/>
                    <w:ind w:left="1372" w:right="544" w:rightChars="0"/>
                    <w:jc w:val="both"/>
                    <w:rPr>
                      <w:sz w:val="21"/>
                    </w:rPr>
                  </w:pPr>
                  <w:r>
                    <w:rPr>
                      <w:sz w:val="21"/>
                    </w:rPr>
                    <w:t>厂界南</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47"/>
                    <w:ind w:left="673" w:right="665"/>
                    <w:jc w:val="center"/>
                    <w:rPr>
                      <w:rFonts w:hint="default" w:ascii="Times New Roman" w:eastAsia="宋体"/>
                      <w:sz w:val="21"/>
                      <w:lang w:val="en-US" w:eastAsia="zh-CN"/>
                    </w:rPr>
                  </w:pPr>
                  <w:r>
                    <w:rPr>
                      <w:rFonts w:hint="eastAsia" w:ascii="Times New Roman"/>
                      <w:sz w:val="21"/>
                      <w:lang w:val="en-US" w:eastAsia="zh-CN"/>
                    </w:rPr>
                    <w:t>54.7</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47"/>
                    <w:ind w:left="476" w:right="466"/>
                    <w:jc w:val="center"/>
                    <w:rPr>
                      <w:rFonts w:hint="default" w:ascii="Times New Roman" w:eastAsia="宋体"/>
                      <w:sz w:val="21"/>
                      <w:lang w:val="en-US" w:eastAsia="zh-CN"/>
                    </w:rPr>
                  </w:pPr>
                  <w:r>
                    <w:rPr>
                      <w:rFonts w:hint="eastAsia" w:ascii="Times New Roman"/>
                      <w:sz w:val="21"/>
                      <w:lang w:val="en-US" w:eastAsia="zh-CN"/>
                    </w:rPr>
                    <w:t>43.8</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47"/>
                    <w:ind w:left="374" w:right="364"/>
                    <w:jc w:val="center"/>
                    <w:rPr>
                      <w:rFonts w:hint="default" w:ascii="Times New Roman" w:eastAsia="宋体"/>
                      <w:sz w:val="21"/>
                      <w:lang w:val="en-US" w:eastAsia="zh-CN"/>
                    </w:rPr>
                  </w:pPr>
                  <w:r>
                    <w:rPr>
                      <w:rFonts w:hint="eastAsia" w:ascii="Times New Roman"/>
                      <w:sz w:val="21"/>
                      <w:lang w:val="en-US" w:eastAsia="zh-CN"/>
                    </w:rPr>
                    <w:t>54.8</w:t>
                  </w:r>
                </w:p>
              </w:tc>
              <w:tc>
                <w:tcPr>
                  <w:tcW w:w="1413" w:type="dxa"/>
                  <w:tcBorders>
                    <w:top w:val="single" w:color="000000" w:sz="6" w:space="0"/>
                    <w:left w:val="single" w:color="000000" w:sz="6" w:space="0"/>
                    <w:bottom w:val="single" w:color="000000" w:sz="6" w:space="0"/>
                  </w:tcBorders>
                </w:tcPr>
                <w:p>
                  <w:pPr>
                    <w:pStyle w:val="15"/>
                    <w:spacing w:before="47"/>
                    <w:ind w:left="474" w:right="465"/>
                    <w:jc w:val="center"/>
                    <w:rPr>
                      <w:rFonts w:hint="default" w:ascii="Times New Roman" w:eastAsia="宋体"/>
                      <w:sz w:val="21"/>
                      <w:lang w:val="en-US" w:eastAsia="zh-CN"/>
                    </w:rPr>
                  </w:pPr>
                  <w:r>
                    <w:rPr>
                      <w:rFonts w:hint="eastAsia" w:ascii="Times New Roman"/>
                      <w:sz w:val="21"/>
                      <w:lang w:val="en-US" w:eastAsia="zh-CN"/>
                    </w:rPr>
                    <w:t>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22"/>
                    <w:ind w:left="1372" w:right="544" w:rightChars="0"/>
                    <w:jc w:val="both"/>
                    <w:rPr>
                      <w:sz w:val="21"/>
                    </w:rPr>
                  </w:pPr>
                  <w:r>
                    <w:rPr>
                      <w:sz w:val="21"/>
                    </w:rPr>
                    <w:t>厂界西</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37"/>
                    <w:ind w:left="673" w:right="665"/>
                    <w:jc w:val="center"/>
                    <w:rPr>
                      <w:rFonts w:hint="default" w:ascii="Times New Roman" w:eastAsia="宋体"/>
                      <w:sz w:val="21"/>
                      <w:lang w:val="en-US" w:eastAsia="zh-CN"/>
                    </w:rPr>
                  </w:pPr>
                  <w:r>
                    <w:rPr>
                      <w:rFonts w:hint="eastAsia" w:ascii="Times New Roman"/>
                      <w:sz w:val="21"/>
                      <w:lang w:val="en-US" w:eastAsia="zh-CN"/>
                    </w:rPr>
                    <w:t>53.0</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37"/>
                    <w:ind w:left="476" w:right="466"/>
                    <w:jc w:val="center"/>
                    <w:rPr>
                      <w:rFonts w:hint="default" w:ascii="Times New Roman" w:eastAsia="宋体"/>
                      <w:sz w:val="21"/>
                      <w:lang w:val="en-US" w:eastAsia="zh-CN"/>
                    </w:rPr>
                  </w:pPr>
                  <w:r>
                    <w:rPr>
                      <w:rFonts w:hint="eastAsia" w:ascii="Times New Roman"/>
                      <w:sz w:val="21"/>
                      <w:lang w:val="en-US" w:eastAsia="zh-CN"/>
                    </w:rPr>
                    <w:t>41.9</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37"/>
                    <w:ind w:left="374" w:right="364"/>
                    <w:jc w:val="center"/>
                    <w:rPr>
                      <w:rFonts w:hint="default" w:ascii="Times New Roman" w:eastAsia="宋体"/>
                      <w:sz w:val="21"/>
                      <w:lang w:val="en-US" w:eastAsia="zh-CN"/>
                    </w:rPr>
                  </w:pPr>
                  <w:r>
                    <w:rPr>
                      <w:rFonts w:hint="eastAsia" w:ascii="Times New Roman"/>
                      <w:sz w:val="21"/>
                      <w:lang w:val="en-US" w:eastAsia="zh-CN"/>
                    </w:rPr>
                    <w:t>53.2</w:t>
                  </w:r>
                </w:p>
              </w:tc>
              <w:tc>
                <w:tcPr>
                  <w:tcW w:w="1413" w:type="dxa"/>
                  <w:tcBorders>
                    <w:top w:val="single" w:color="000000" w:sz="6" w:space="0"/>
                    <w:left w:val="single" w:color="000000" w:sz="6" w:space="0"/>
                    <w:bottom w:val="single" w:color="000000" w:sz="6" w:space="0"/>
                  </w:tcBorders>
                </w:tcPr>
                <w:p>
                  <w:pPr>
                    <w:pStyle w:val="15"/>
                    <w:spacing w:before="37"/>
                    <w:ind w:left="474" w:right="465"/>
                    <w:jc w:val="center"/>
                    <w:rPr>
                      <w:rFonts w:hint="default" w:ascii="Times New Roman" w:eastAsia="宋体"/>
                      <w:sz w:val="21"/>
                      <w:lang w:val="en-US" w:eastAsia="zh-CN"/>
                    </w:rPr>
                  </w:pPr>
                  <w:r>
                    <w:rPr>
                      <w:rFonts w:hint="eastAsia" w:ascii="Times New Roman"/>
                      <w:sz w:val="21"/>
                      <w:lang w:val="en-US" w:eastAsia="zh-CN"/>
                    </w:rPr>
                    <w:t>44.3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32"/>
                    <w:ind w:left="1372" w:right="764" w:rightChars="0"/>
                    <w:jc w:val="both"/>
                    <w:rPr>
                      <w:sz w:val="21"/>
                    </w:rPr>
                  </w:pPr>
                  <w:r>
                    <w:rPr>
                      <w:sz w:val="21"/>
                    </w:rPr>
                    <w:t>厂界北</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46"/>
                    <w:ind w:left="673" w:right="665"/>
                    <w:jc w:val="center"/>
                    <w:rPr>
                      <w:rFonts w:hint="default" w:ascii="Times New Roman" w:eastAsia="宋体"/>
                      <w:sz w:val="21"/>
                      <w:lang w:val="en-US" w:eastAsia="zh-CN"/>
                    </w:rPr>
                  </w:pPr>
                  <w:r>
                    <w:rPr>
                      <w:rFonts w:hint="eastAsia" w:ascii="Times New Roman"/>
                      <w:sz w:val="21"/>
                      <w:lang w:val="en-US" w:eastAsia="zh-CN"/>
                    </w:rPr>
                    <w:t>51.0</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46"/>
                    <w:ind w:left="476" w:right="466"/>
                    <w:jc w:val="center"/>
                    <w:rPr>
                      <w:rFonts w:hint="default" w:ascii="Times New Roman" w:eastAsia="宋体"/>
                      <w:sz w:val="21"/>
                      <w:lang w:val="en-US" w:eastAsia="zh-CN"/>
                    </w:rPr>
                  </w:pPr>
                  <w:r>
                    <w:rPr>
                      <w:rFonts w:hint="eastAsia" w:ascii="Times New Roman"/>
                      <w:sz w:val="21"/>
                      <w:lang w:val="en-US" w:eastAsia="zh-CN"/>
                    </w:rPr>
                    <w:t>44.1</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46"/>
                    <w:ind w:left="374" w:right="364"/>
                    <w:jc w:val="center"/>
                    <w:rPr>
                      <w:rFonts w:hint="default" w:ascii="Times New Roman" w:eastAsia="宋体"/>
                      <w:sz w:val="21"/>
                      <w:lang w:val="en-US" w:eastAsia="zh-CN"/>
                    </w:rPr>
                  </w:pPr>
                  <w:r>
                    <w:rPr>
                      <w:rFonts w:hint="eastAsia" w:ascii="Times New Roman"/>
                      <w:sz w:val="21"/>
                      <w:lang w:val="en-US" w:eastAsia="zh-CN"/>
                    </w:rPr>
                    <w:t>51.5</w:t>
                  </w:r>
                </w:p>
              </w:tc>
              <w:tc>
                <w:tcPr>
                  <w:tcW w:w="1413" w:type="dxa"/>
                  <w:tcBorders>
                    <w:top w:val="single" w:color="000000" w:sz="6" w:space="0"/>
                    <w:left w:val="single" w:color="000000" w:sz="6" w:space="0"/>
                    <w:bottom w:val="single" w:color="000000" w:sz="6" w:space="0"/>
                  </w:tcBorders>
                </w:tcPr>
                <w:p>
                  <w:pPr>
                    <w:pStyle w:val="15"/>
                    <w:spacing w:before="46"/>
                    <w:ind w:left="474" w:right="465"/>
                    <w:jc w:val="center"/>
                    <w:rPr>
                      <w:rFonts w:hint="default" w:ascii="Times New Roman" w:eastAsia="宋体"/>
                      <w:sz w:val="21"/>
                      <w:lang w:val="en-US" w:eastAsia="zh-CN"/>
                    </w:rPr>
                  </w:pPr>
                  <w:r>
                    <w:rPr>
                      <w:rFonts w:hint="eastAsia" w:ascii="Times New Roman"/>
                      <w:sz w:val="21"/>
                      <w:lang w:val="en-US" w:eastAsia="zh-CN"/>
                    </w:rPr>
                    <w:t>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340" w:type="dxa"/>
                  <w:tcBorders>
                    <w:top w:val="single" w:color="000000" w:sz="6" w:space="0"/>
                    <w:right w:val="single" w:color="000000" w:sz="6" w:space="0"/>
                  </w:tcBorders>
                </w:tcPr>
                <w:p>
                  <w:pPr>
                    <w:pStyle w:val="15"/>
                    <w:spacing w:before="35"/>
                    <w:ind w:left="748"/>
                    <w:rPr>
                      <w:sz w:val="21"/>
                    </w:rPr>
                  </w:pPr>
                  <w:r>
                    <w:rPr>
                      <w:sz w:val="21"/>
                    </w:rPr>
                    <w:t>标准限值</w:t>
                  </w:r>
                </w:p>
              </w:tc>
              <w:tc>
                <w:tcPr>
                  <w:tcW w:w="1076" w:type="dxa"/>
                  <w:tcBorders>
                    <w:top w:val="single" w:color="000000" w:sz="6" w:space="0"/>
                    <w:left w:val="single" w:color="000000" w:sz="6" w:space="0"/>
                    <w:right w:val="single" w:color="000000" w:sz="6" w:space="0"/>
                  </w:tcBorders>
                </w:tcPr>
                <w:p>
                  <w:pPr>
                    <w:pStyle w:val="15"/>
                    <w:spacing w:before="35"/>
                    <w:ind w:left="351"/>
                    <w:rPr>
                      <w:sz w:val="21"/>
                    </w:rPr>
                  </w:pPr>
                  <w:r>
                    <w:rPr>
                      <w:rFonts w:hint="eastAsia" w:ascii="Times New Roman"/>
                      <w:sz w:val="21"/>
                      <w:lang w:val="en-US" w:eastAsia="zh-CN"/>
                    </w:rPr>
                    <w:t>3</w:t>
                  </w:r>
                  <w:r>
                    <w:rPr>
                      <w:sz w:val="21"/>
                    </w:rPr>
                    <w:t>类</w:t>
                  </w:r>
                </w:p>
              </w:tc>
              <w:tc>
                <w:tcPr>
                  <w:tcW w:w="1814" w:type="dxa"/>
                  <w:tcBorders>
                    <w:top w:val="single" w:color="000000" w:sz="6" w:space="0"/>
                    <w:left w:val="single" w:color="000000" w:sz="6" w:space="0"/>
                    <w:right w:val="single" w:color="000000" w:sz="6" w:space="0"/>
                  </w:tcBorders>
                </w:tcPr>
                <w:p>
                  <w:pPr>
                    <w:pStyle w:val="15"/>
                    <w:spacing w:before="49"/>
                    <w:ind w:left="673" w:right="663"/>
                    <w:jc w:val="center"/>
                    <w:rPr>
                      <w:rFonts w:hint="eastAsia" w:ascii="Times New Roman" w:eastAsia="宋体"/>
                      <w:sz w:val="21"/>
                      <w:lang w:eastAsia="zh-CN"/>
                    </w:rPr>
                  </w:pPr>
                  <w:r>
                    <w:rPr>
                      <w:rFonts w:ascii="Times New Roman"/>
                      <w:sz w:val="21"/>
                    </w:rPr>
                    <w:t>6</w:t>
                  </w:r>
                  <w:r>
                    <w:rPr>
                      <w:rFonts w:hint="eastAsia" w:ascii="Times New Roman"/>
                      <w:sz w:val="21"/>
                      <w:lang w:val="en-US" w:eastAsia="zh-CN"/>
                    </w:rPr>
                    <w:t>5</w:t>
                  </w:r>
                </w:p>
              </w:tc>
              <w:tc>
                <w:tcPr>
                  <w:tcW w:w="1417" w:type="dxa"/>
                  <w:tcBorders>
                    <w:top w:val="single" w:color="000000" w:sz="6" w:space="0"/>
                    <w:left w:val="single" w:color="000000" w:sz="6" w:space="0"/>
                    <w:right w:val="single" w:color="000000" w:sz="6" w:space="0"/>
                  </w:tcBorders>
                </w:tcPr>
                <w:p>
                  <w:pPr>
                    <w:pStyle w:val="15"/>
                    <w:spacing w:before="49"/>
                    <w:ind w:left="476" w:right="464"/>
                    <w:jc w:val="center"/>
                    <w:rPr>
                      <w:rFonts w:hint="eastAsia" w:ascii="Times New Roman" w:eastAsia="宋体"/>
                      <w:sz w:val="21"/>
                      <w:lang w:eastAsia="zh-CN"/>
                    </w:rPr>
                  </w:pPr>
                  <w:r>
                    <w:rPr>
                      <w:rFonts w:ascii="Times New Roman"/>
                      <w:sz w:val="21"/>
                    </w:rPr>
                    <w:t>5</w:t>
                  </w:r>
                  <w:r>
                    <w:rPr>
                      <w:rFonts w:hint="eastAsia" w:ascii="Times New Roman"/>
                      <w:sz w:val="21"/>
                      <w:lang w:val="en-US" w:eastAsia="zh-CN"/>
                    </w:rPr>
                    <w:t>5</w:t>
                  </w:r>
                </w:p>
              </w:tc>
              <w:tc>
                <w:tcPr>
                  <w:tcW w:w="1214" w:type="dxa"/>
                  <w:tcBorders>
                    <w:top w:val="single" w:color="000000" w:sz="6" w:space="0"/>
                    <w:left w:val="single" w:color="000000" w:sz="6" w:space="0"/>
                    <w:right w:val="single" w:color="000000" w:sz="6" w:space="0"/>
                  </w:tcBorders>
                </w:tcPr>
                <w:p>
                  <w:pPr>
                    <w:pStyle w:val="15"/>
                    <w:spacing w:before="49"/>
                    <w:ind w:left="375" w:right="363"/>
                    <w:jc w:val="center"/>
                    <w:rPr>
                      <w:rFonts w:hint="eastAsia" w:ascii="Times New Roman" w:eastAsia="宋体"/>
                      <w:sz w:val="21"/>
                      <w:lang w:eastAsia="zh-CN"/>
                    </w:rPr>
                  </w:pPr>
                  <w:r>
                    <w:rPr>
                      <w:rFonts w:ascii="Times New Roman"/>
                      <w:sz w:val="21"/>
                    </w:rPr>
                    <w:t>6</w:t>
                  </w:r>
                  <w:r>
                    <w:rPr>
                      <w:rFonts w:hint="eastAsia" w:ascii="Times New Roman"/>
                      <w:sz w:val="21"/>
                      <w:lang w:val="en-US" w:eastAsia="zh-CN"/>
                    </w:rPr>
                    <w:t>5</w:t>
                  </w:r>
                </w:p>
              </w:tc>
              <w:tc>
                <w:tcPr>
                  <w:tcW w:w="1413" w:type="dxa"/>
                  <w:tcBorders>
                    <w:top w:val="single" w:color="000000" w:sz="6" w:space="0"/>
                    <w:left w:val="single" w:color="000000" w:sz="6" w:space="0"/>
                  </w:tcBorders>
                </w:tcPr>
                <w:p>
                  <w:pPr>
                    <w:pStyle w:val="15"/>
                    <w:spacing w:before="49"/>
                    <w:ind w:left="474" w:right="466"/>
                    <w:jc w:val="center"/>
                    <w:rPr>
                      <w:rFonts w:hint="eastAsia" w:ascii="Times New Roman" w:eastAsia="宋体"/>
                      <w:sz w:val="21"/>
                      <w:lang w:eastAsia="zh-CN"/>
                    </w:rPr>
                  </w:pPr>
                  <w:r>
                    <w:rPr>
                      <w:rFonts w:ascii="Times New Roman"/>
                      <w:sz w:val="21"/>
                    </w:rPr>
                    <w:t>5</w:t>
                  </w:r>
                  <w:r>
                    <w:rPr>
                      <w:rFonts w:hint="eastAsia" w:ascii="Times New Roman"/>
                      <w:sz w:val="21"/>
                      <w:lang w:val="en-US" w:eastAsia="zh-CN"/>
                    </w:rPr>
                    <w:t>5</w:t>
                  </w:r>
                </w:p>
              </w:tc>
            </w:tr>
          </w:tbl>
          <w:p>
            <w:pPr>
              <w:pStyle w:val="5"/>
              <w:spacing w:line="364" w:lineRule="auto"/>
              <w:ind w:right="125" w:firstLine="636" w:firstLineChars="300"/>
              <w:jc w:val="both"/>
              <w:rPr>
                <w:rFonts w:hint="eastAsia"/>
                <w:spacing w:val="-4"/>
                <w:lang w:eastAsia="zh-CN"/>
              </w:rPr>
            </w:pPr>
            <w:r>
              <w:rPr>
                <w:rFonts w:hint="default" w:ascii="Times New Roman" w:hAnsi="Times New Roman" w:eastAsia="宋体" w:cs="Times New Roman"/>
                <w:spacing w:val="-14"/>
                <w:sz w:val="24"/>
                <w:szCs w:val="24"/>
                <w:lang w:val="zh-CN" w:eastAsia="zh-CN" w:bidi="zh-CN"/>
              </w:rPr>
              <w:t>根据表 7-</w:t>
            </w:r>
            <w:r>
              <w:rPr>
                <w:rFonts w:hint="eastAsia" w:ascii="Times New Roman" w:hAnsi="Times New Roman" w:cs="Times New Roman"/>
                <w:spacing w:val="-14"/>
                <w:sz w:val="24"/>
                <w:szCs w:val="24"/>
                <w:lang w:val="en-US" w:eastAsia="zh-CN" w:bidi="zh-CN"/>
              </w:rPr>
              <w:t>5</w:t>
            </w:r>
            <w:r>
              <w:rPr>
                <w:rFonts w:hint="default" w:ascii="Times New Roman" w:hAnsi="Times New Roman" w:eastAsia="宋体" w:cs="Times New Roman"/>
                <w:spacing w:val="-14"/>
                <w:sz w:val="24"/>
                <w:szCs w:val="24"/>
                <w:lang w:val="zh-CN" w:eastAsia="zh-CN" w:bidi="zh-CN"/>
              </w:rPr>
              <w:t>检测结果显示，项目厂界东、厂界南、厂界西、厂界北昼间两日噪声最大值为 5</w:t>
            </w:r>
            <w:r>
              <w:rPr>
                <w:rFonts w:hint="eastAsia" w:ascii="Times New Roman" w:hAnsi="Times New Roman" w:cs="Times New Roman"/>
                <w:spacing w:val="-14"/>
                <w:sz w:val="24"/>
                <w:szCs w:val="24"/>
                <w:lang w:val="en-US" w:eastAsia="zh-CN" w:bidi="zh-CN"/>
              </w:rPr>
              <w:t>4</w:t>
            </w:r>
            <w:r>
              <w:rPr>
                <w:rFonts w:hint="default" w:ascii="Times New Roman" w:hAnsi="Times New Roman" w:eastAsia="宋体" w:cs="Times New Roman"/>
                <w:spacing w:val="-14"/>
                <w:sz w:val="24"/>
                <w:szCs w:val="24"/>
                <w:lang w:val="zh-CN" w:eastAsia="zh-CN" w:bidi="zh-CN"/>
              </w:rPr>
              <w:t>.8dB，厂界东、厂界南、厂界西、厂界北夜间两日噪声最高值为</w:t>
            </w:r>
            <w:r>
              <w:rPr>
                <w:rFonts w:hint="eastAsia" w:ascii="Times New Roman" w:hAnsi="Times New Roman" w:cs="Times New Roman"/>
                <w:spacing w:val="-14"/>
                <w:sz w:val="24"/>
                <w:szCs w:val="24"/>
                <w:lang w:val="en-US" w:eastAsia="zh-CN" w:bidi="zh-CN"/>
              </w:rPr>
              <w:t>44.4</w:t>
            </w:r>
            <w:r>
              <w:rPr>
                <w:rFonts w:hint="default" w:ascii="Times New Roman" w:hAnsi="Times New Roman" w:eastAsia="宋体" w:cs="Times New Roman"/>
                <w:spacing w:val="-14"/>
                <w:sz w:val="24"/>
                <w:szCs w:val="24"/>
                <w:lang w:val="zh-CN" w:eastAsia="zh-CN" w:bidi="zh-CN"/>
              </w:rPr>
              <w:t>dB。</w:t>
            </w:r>
          </w:p>
          <w:p>
            <w:pPr>
              <w:pStyle w:val="15"/>
              <w:spacing w:line="364" w:lineRule="auto"/>
              <w:ind w:left="107" w:right="-29" w:firstLine="480"/>
              <w:rPr>
                <w:sz w:val="24"/>
              </w:rPr>
            </w:pPr>
            <w:r>
              <w:rPr>
                <w:sz w:val="24"/>
              </w:rPr>
              <w:t>项目厂</w:t>
            </w:r>
            <w:r>
              <w:rPr>
                <w:spacing w:val="-12"/>
                <w:sz w:val="24"/>
              </w:rPr>
              <w:t xml:space="preserve">界东、厂界南、厂界西、厂界北噪声 </w:t>
            </w:r>
            <w:r>
              <w:rPr>
                <w:rFonts w:ascii="Times New Roman" w:hAnsi="Times New Roman" w:eastAsia="Times New Roman"/>
                <w:sz w:val="24"/>
              </w:rPr>
              <w:t xml:space="preserve">4 </w:t>
            </w:r>
            <w:r>
              <w:rPr>
                <w:spacing w:val="-2"/>
                <w:sz w:val="24"/>
              </w:rPr>
              <w:t>个监测点昼夜两日监测值均低于《工业企业厂界环</w:t>
            </w:r>
            <w:r>
              <w:rPr>
                <w:spacing w:val="-10"/>
                <w:sz w:val="24"/>
              </w:rPr>
              <w:t>境噪声排放标准》</w:t>
            </w:r>
            <w:r>
              <w:rPr>
                <w:spacing w:val="-3"/>
                <w:sz w:val="24"/>
              </w:rPr>
              <w:t>（</w:t>
            </w:r>
            <w:r>
              <w:rPr>
                <w:rFonts w:ascii="Times New Roman" w:hAnsi="Times New Roman" w:eastAsia="Times New Roman"/>
                <w:spacing w:val="-3"/>
                <w:sz w:val="24"/>
              </w:rPr>
              <w:t>GB12348-2008</w:t>
            </w:r>
            <w:r>
              <w:rPr>
                <w:spacing w:val="-3"/>
                <w:sz w:val="24"/>
              </w:rPr>
              <w:t>）</w:t>
            </w:r>
            <w:r>
              <w:rPr>
                <w:spacing w:val="-20"/>
                <w:sz w:val="24"/>
              </w:rPr>
              <w:t xml:space="preserve">中的 </w:t>
            </w:r>
            <w:r>
              <w:rPr>
                <w:rFonts w:hint="eastAsia" w:ascii="Times New Roman" w:hAnsi="Times New Roman"/>
                <w:sz w:val="24"/>
                <w:lang w:val="en-US" w:eastAsia="zh-CN"/>
              </w:rPr>
              <w:t>3</w:t>
            </w:r>
            <w:r>
              <w:rPr>
                <w:rFonts w:ascii="Times New Roman" w:hAnsi="Times New Roman" w:eastAsia="Times New Roman"/>
                <w:sz w:val="24"/>
              </w:rPr>
              <w:t xml:space="preserve"> </w:t>
            </w:r>
            <w:r>
              <w:rPr>
                <w:spacing w:val="-6"/>
                <w:sz w:val="24"/>
              </w:rPr>
              <w:t>类标准要求，即昼间</w:t>
            </w:r>
            <w:r>
              <w:rPr>
                <w:rFonts w:ascii="Times New Roman" w:hAnsi="Times New Roman" w:eastAsia="Times New Roman"/>
                <w:sz w:val="24"/>
              </w:rPr>
              <w:t>≤6</w:t>
            </w:r>
            <w:r>
              <w:rPr>
                <w:rFonts w:hint="eastAsia" w:ascii="Times New Roman" w:hAnsi="Times New Roman"/>
                <w:sz w:val="24"/>
                <w:lang w:val="en-US" w:eastAsia="zh-CN"/>
              </w:rPr>
              <w:t>5</w:t>
            </w:r>
            <w:r>
              <w:rPr>
                <w:rFonts w:ascii="Times New Roman" w:hAnsi="Times New Roman" w:eastAsia="Times New Roman"/>
                <w:sz w:val="24"/>
              </w:rPr>
              <w:t xml:space="preserve"> </w:t>
            </w:r>
            <w:r>
              <w:rPr>
                <w:spacing w:val="-7"/>
                <w:sz w:val="24"/>
              </w:rPr>
              <w:t>分贝，夜间</w:t>
            </w:r>
            <w:r>
              <w:rPr>
                <w:rFonts w:ascii="Times New Roman" w:hAnsi="Times New Roman" w:eastAsia="Times New Roman"/>
                <w:sz w:val="24"/>
              </w:rPr>
              <w:t>≤5</w:t>
            </w:r>
            <w:r>
              <w:rPr>
                <w:rFonts w:hint="eastAsia" w:ascii="Times New Roman" w:hAnsi="Times New Roman"/>
                <w:sz w:val="24"/>
                <w:lang w:val="en-US" w:eastAsia="zh-CN"/>
              </w:rPr>
              <w:t>5</w:t>
            </w:r>
            <w:r>
              <w:rPr>
                <w:rFonts w:ascii="Times New Roman" w:hAnsi="Times New Roman" w:eastAsia="Times New Roman"/>
                <w:sz w:val="24"/>
              </w:rPr>
              <w:t xml:space="preserve"> </w:t>
            </w:r>
            <w:r>
              <w:rPr>
                <w:sz w:val="24"/>
              </w:rPr>
              <w:t>分贝。项目厂界噪声达标。</w:t>
            </w:r>
          </w:p>
          <w:p>
            <w:pPr>
              <w:pStyle w:val="15"/>
              <w:tabs>
                <w:tab w:val="left" w:pos="778"/>
              </w:tabs>
              <w:spacing w:before="158" w:line="253" w:lineRule="exact"/>
              <w:ind w:left="25"/>
              <w:jc w:val="center"/>
              <w:rPr>
                <w:b w:val="0"/>
                <w:bCs/>
                <w:sz w:val="21"/>
              </w:rPr>
            </w:pPr>
          </w:p>
        </w:tc>
      </w:tr>
    </w:tbl>
    <w:p>
      <w:pPr>
        <w:spacing w:after="0"/>
        <w:rPr>
          <w:rFonts w:ascii="Times New Roman"/>
          <w:sz w:val="22"/>
        </w:rPr>
        <w:sectPr>
          <w:pgSz w:w="11910" w:h="16840"/>
          <w:pgMar w:top="1400" w:right="1060" w:bottom="1180" w:left="1080" w:header="0" w:footer="915" w:gutter="0"/>
          <w:pgBorders>
            <w:top w:val="none" w:sz="0" w:space="0"/>
            <w:left w:val="none" w:sz="0" w:space="0"/>
            <w:bottom w:val="none" w:sz="0" w:space="0"/>
            <w:right w:val="none" w:sz="0" w:space="0"/>
          </w:pgBorders>
          <w:cols w:space="720" w:num="1"/>
        </w:sectPr>
      </w:pPr>
    </w:p>
    <w:p>
      <w:pPr>
        <w:pStyle w:val="2"/>
        <w:tabs>
          <w:tab w:val="left" w:pos="1490"/>
        </w:tabs>
        <w:ind w:left="718"/>
      </w:pPr>
      <w:r>
        <w:pict>
          <v:group id="_x0000_s1128" o:spid="_x0000_s1128" o:spt="203" style="position:absolute;left:0pt;margin-left:59.4pt;margin-top:90.15pt;height:706.45pt;width:476.4pt;mso-position-horizontal-relative:page;mso-position-vertical-relative:page;z-index:-251642880;mso-width-relative:page;mso-height-relative:page;" coordorigin="1188,1804" coordsize="9528,13430">
            <o:lock v:ext="edit" aspectratio="f"/>
            <v:line id="_x0000_s1129" o:spid="_x0000_s1129" o:spt="20" style="position:absolute;left:1188;top:1808;height:0;width:9528;" filled="f" stroked="t" coordsize="21600,21600">
              <v:path arrowok="t"/>
              <v:fill on="f" focussize="0,0"/>
              <v:stroke weight="0.48pt" color="#000000"/>
              <v:imagedata o:title=""/>
              <o:lock v:ext="edit" aspectratio="f"/>
            </v:line>
            <v:line id="_x0000_s1130" o:spid="_x0000_s1130" o:spt="20" style="position:absolute;left:1188;top:15228;height:0;width:9528;" filled="f" stroked="t" coordsize="21600,21600">
              <v:path arrowok="t"/>
              <v:fill on="f" focussize="0,0"/>
              <v:stroke weight="0.48pt" color="#000000"/>
              <v:imagedata o:title=""/>
              <o:lock v:ext="edit" aspectratio="f"/>
            </v:line>
            <v:line id="_x0000_s1131" o:spid="_x0000_s1131" o:spt="20" style="position:absolute;left:1193;top:1804;height:13419;width:0;" filled="f" stroked="t" coordsize="21600,21600">
              <v:path arrowok="t"/>
              <v:fill on="f" focussize="0,0"/>
              <v:stroke weight="0.48pt" color="#000000"/>
              <v:imagedata o:title=""/>
              <o:lock v:ext="edit" aspectratio="f"/>
            </v:line>
            <v:line id="_x0000_s1132" o:spid="_x0000_s1132" o:spt="20" style="position:absolute;left:10711;top:1804;height:13419;width:0;" filled="f" stroked="t" coordsize="21600,21600">
              <v:path arrowok="t"/>
              <v:fill on="f" focussize="0,0"/>
              <v:stroke weight="0.48pt" color="#000000"/>
              <v:imagedata o:title=""/>
              <o:lock v:ext="edit" aspectratio="f"/>
            </v:line>
          </v:group>
        </w:pict>
      </w:r>
      <w:bookmarkStart w:id="10" w:name="_TOC_250000"/>
      <w:r>
        <w:t>表</w:t>
      </w:r>
      <w:r>
        <w:rPr>
          <w:spacing w:val="-71"/>
        </w:rPr>
        <w:t xml:space="preserve"> </w:t>
      </w:r>
      <w:r>
        <w:rPr>
          <w:rFonts w:ascii="Times New Roman" w:eastAsia="Times New Roman"/>
        </w:rPr>
        <w:t>8</w:t>
      </w:r>
      <w:r>
        <w:rPr>
          <w:rFonts w:ascii="Times New Roman" w:eastAsia="Times New Roman"/>
        </w:rPr>
        <w:tab/>
      </w:r>
      <w:bookmarkEnd w:id="10"/>
      <w:r>
        <w:t>验收监测结论及建议</w:t>
      </w:r>
    </w:p>
    <w:p>
      <w:pPr>
        <w:pStyle w:val="3"/>
        <w:spacing w:before="13"/>
        <w:ind w:left="219"/>
      </w:pPr>
      <w:r>
        <w:t>验收监测结论：</w:t>
      </w:r>
    </w:p>
    <w:p>
      <w:pPr>
        <w:spacing w:before="121"/>
        <w:ind w:left="699" w:right="0" w:firstLine="0"/>
        <w:jc w:val="left"/>
        <w:rPr>
          <w:b/>
          <w:sz w:val="24"/>
        </w:rPr>
      </w:pPr>
      <w:r>
        <w:rPr>
          <w:rFonts w:ascii="Times New Roman" w:eastAsia="Times New Roman"/>
          <w:b/>
          <w:sz w:val="24"/>
        </w:rPr>
        <w:t>1</w:t>
      </w:r>
      <w:r>
        <w:rPr>
          <w:b/>
          <w:sz w:val="24"/>
        </w:rPr>
        <w:t>、废水</w:t>
      </w:r>
    </w:p>
    <w:p>
      <w:pPr>
        <w:pStyle w:val="5"/>
        <w:spacing w:before="128"/>
        <w:ind w:left="699"/>
      </w:pPr>
      <w:r>
        <w:t>根据现场踏勘调查，项目产生的废水主要为</w:t>
      </w:r>
      <w:r>
        <w:rPr>
          <w:rFonts w:hint="eastAsia"/>
          <w:lang w:val="en-US" w:eastAsia="zh-CN"/>
        </w:rPr>
        <w:t>生活污水</w:t>
      </w:r>
      <w:r>
        <w:t>。</w:t>
      </w:r>
    </w:p>
    <w:p>
      <w:pPr>
        <w:pStyle w:val="5"/>
        <w:spacing w:before="128" w:line="364" w:lineRule="auto"/>
        <w:ind w:left="219" w:right="239" w:firstLine="480"/>
        <w:jc w:val="both"/>
        <w:rPr>
          <w:rFonts w:hint="eastAsia"/>
          <w:spacing w:val="-5"/>
          <w:lang w:eastAsia="zh-CN"/>
        </w:rPr>
      </w:pPr>
      <w:r>
        <w:rPr>
          <w:spacing w:val="-5"/>
        </w:rPr>
        <w:t>生活污水进入贵州宝信捷投资有限公司已建的</w:t>
      </w:r>
      <w:r>
        <w:rPr>
          <w:rFonts w:hint="default" w:ascii="Times New Roman" w:hAnsi="Times New Roman" w:cs="Times New Roman"/>
          <w:spacing w:val="-5"/>
        </w:rPr>
        <w:t xml:space="preserve"> 60m</w:t>
      </w:r>
      <w:r>
        <w:rPr>
          <w:rFonts w:hint="default" w:ascii="Times New Roman" w:hAnsi="Times New Roman" w:cs="Times New Roman"/>
          <w:spacing w:val="-5"/>
          <w:vertAlign w:val="superscript"/>
        </w:rPr>
        <w:t>3</w:t>
      </w:r>
      <w:r>
        <w:rPr>
          <w:rFonts w:hint="default" w:ascii="Times New Roman" w:hAnsi="Times New Roman" w:cs="Times New Roman"/>
          <w:spacing w:val="-5"/>
        </w:rPr>
        <w:t>/d 的</w:t>
      </w:r>
      <w:r>
        <w:rPr>
          <w:spacing w:val="-5"/>
        </w:rPr>
        <w:t>污水处理站，处理后的污水经龙洞堡排污隧道至南明河下</w:t>
      </w:r>
      <w:r>
        <w:rPr>
          <w:rFonts w:hint="eastAsia"/>
          <w:spacing w:val="-5"/>
          <w:lang w:val="en-US" w:eastAsia="zh-CN"/>
        </w:rPr>
        <w:t>游排放。</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经检测结果分析得知：污水检测结果满足《污水综合排放标准》（GB 8978-1996）三级排放限值，其中TP、NH</w:t>
      </w:r>
      <w:r>
        <w:rPr>
          <w:rFonts w:hint="default" w:ascii="Times New Roman" w:hAnsi="Times New Roman" w:cs="Times New Roman"/>
          <w:spacing w:val="-5"/>
          <w:vertAlign w:val="subscript"/>
        </w:rPr>
        <w:t>3</w:t>
      </w:r>
      <w:r>
        <w:rPr>
          <w:rFonts w:hint="default" w:ascii="Times New Roman" w:hAnsi="Times New Roman" w:cs="Times New Roman"/>
          <w:spacing w:val="-5"/>
          <w:lang w:val="en-US" w:eastAsia="zh-CN"/>
        </w:rPr>
        <w:t>-N满足二级排放限制。即COD≤500mg/L、BOD</w:t>
      </w:r>
      <w:r>
        <w:rPr>
          <w:rFonts w:hint="default" w:ascii="Times New Roman" w:hAnsi="Times New Roman" w:cs="Times New Roman"/>
          <w:spacing w:val="-5"/>
          <w:vertAlign w:val="subscript"/>
          <w:lang w:val="en-US" w:eastAsia="zh-CN"/>
        </w:rPr>
        <w:t>5</w:t>
      </w:r>
      <w:r>
        <w:rPr>
          <w:rFonts w:hint="default" w:ascii="Times New Roman" w:hAnsi="Times New Roman" w:cs="Times New Roman"/>
          <w:spacing w:val="-5"/>
          <w:lang w:val="en-US" w:eastAsia="zh-CN"/>
        </w:rPr>
        <w:t>≤300mg/L、SS≤400mg/L、TP≤1.0mg/L、NH</w:t>
      </w:r>
      <w:r>
        <w:rPr>
          <w:rFonts w:hint="default" w:ascii="Times New Roman" w:hAnsi="Times New Roman" w:cs="Times New Roman"/>
          <w:spacing w:val="-5"/>
          <w:vertAlign w:val="subscript"/>
        </w:rPr>
        <w:t>3</w:t>
      </w:r>
      <w:r>
        <w:rPr>
          <w:rFonts w:hint="default" w:ascii="Times New Roman" w:hAnsi="Times New Roman" w:cs="Times New Roman"/>
          <w:spacing w:val="-5"/>
          <w:lang w:val="en-US" w:eastAsia="zh-CN"/>
        </w:rPr>
        <w:t>-N≤25mg/L。</w:t>
      </w:r>
    </w:p>
    <w:p>
      <w:pPr>
        <w:pStyle w:val="3"/>
        <w:spacing w:line="306" w:lineRule="exact"/>
        <w:ind w:left="699"/>
      </w:pPr>
      <w:r>
        <w:rPr>
          <w:rFonts w:ascii="Times New Roman" w:eastAsia="Times New Roman"/>
        </w:rPr>
        <w:t>2</w:t>
      </w:r>
      <w:r>
        <w:t>、废气</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项目废气采用活性炭吸附装置处理，净化达标后通过15m（高于房顶2m）高空排放。</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经检测结果分析得知：有组织和无组织废气中非甲烷总烃排放浓度满足《大气污染物综合排放标准》（GB 16297-1996）二级标准限</w:t>
      </w:r>
      <w:r>
        <w:rPr>
          <w:rFonts w:hint="eastAsia" w:ascii="Times New Roman" w:hAnsi="Times New Roman" w:cs="Times New Roman"/>
          <w:spacing w:val="-5"/>
          <w:lang w:val="en-US" w:eastAsia="zh-CN"/>
        </w:rPr>
        <w:t>值</w:t>
      </w:r>
      <w:bookmarkStart w:id="11" w:name="_GoBack"/>
      <w:bookmarkEnd w:id="11"/>
      <w:r>
        <w:rPr>
          <w:rFonts w:hint="default" w:ascii="Times New Roman" w:hAnsi="Times New Roman" w:cs="Times New Roman"/>
          <w:spacing w:val="-5"/>
          <w:lang w:val="en-US" w:eastAsia="zh-CN"/>
        </w:rPr>
        <w:t>。即有组织废气中非甲烷总烃≤120mg/m</w:t>
      </w:r>
      <w:r>
        <w:rPr>
          <w:rFonts w:hint="default" w:ascii="Times New Roman" w:hAnsi="Times New Roman" w:cs="Times New Roman"/>
          <w:spacing w:val="-5"/>
          <w:vertAlign w:val="superscript"/>
          <w:lang w:val="en-US" w:eastAsia="zh-CN"/>
        </w:rPr>
        <w:t>3</w:t>
      </w:r>
      <w:r>
        <w:rPr>
          <w:rFonts w:hint="default" w:ascii="Times New Roman" w:hAnsi="Times New Roman" w:cs="Times New Roman"/>
          <w:spacing w:val="-5"/>
          <w:lang w:val="en-US" w:eastAsia="zh-CN"/>
        </w:rPr>
        <w:t>，无组织废气中非甲烷总烃≤4.0mg/m</w:t>
      </w:r>
      <w:r>
        <w:rPr>
          <w:rFonts w:hint="default" w:ascii="Times New Roman" w:hAnsi="Times New Roman" w:cs="Times New Roman"/>
          <w:spacing w:val="-5"/>
          <w:vertAlign w:val="superscript"/>
          <w:lang w:val="en-US" w:eastAsia="zh-CN"/>
        </w:rPr>
        <w:t>3</w:t>
      </w:r>
      <w:r>
        <w:rPr>
          <w:rFonts w:hint="default" w:ascii="Times New Roman" w:hAnsi="Times New Roman" w:cs="Times New Roman"/>
          <w:spacing w:val="-5"/>
          <w:lang w:val="en-US" w:eastAsia="zh-CN"/>
        </w:rPr>
        <w:t>。</w:t>
      </w:r>
    </w:p>
    <w:p>
      <w:pPr>
        <w:pStyle w:val="3"/>
        <w:spacing w:line="306" w:lineRule="exact"/>
        <w:ind w:left="639"/>
        <w:rPr>
          <w:rFonts w:hint="default" w:ascii="Times New Roman" w:hAnsi="Times New Roman" w:cs="Times New Roman"/>
        </w:rPr>
      </w:pPr>
      <w:r>
        <w:rPr>
          <w:rFonts w:hint="default" w:ascii="Times New Roman" w:hAnsi="Times New Roman" w:eastAsia="Times New Roman" w:cs="Times New Roman"/>
        </w:rPr>
        <w:t>3</w:t>
      </w:r>
      <w:r>
        <w:rPr>
          <w:rFonts w:hint="default" w:ascii="Times New Roman" w:hAnsi="Times New Roman" w:cs="Times New Roman"/>
        </w:rPr>
        <w:t>、噪声</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项目运营期产生的噪声主要有各类生产设备产生的噪声。项目通过选用低噪设备、基础减震、构筑物隔声、隔声罩隔声和距离衰减等措施来降噪。</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经监测结果分析：项目厂界东、厂界西、厂界北噪声均满足《工业企业厂界环境噪声排放标准》GB12348-2008 中的 3 类标准要求。项目厂界噪声达标。</w:t>
      </w:r>
    </w:p>
    <w:p>
      <w:pPr>
        <w:pStyle w:val="3"/>
        <w:spacing w:line="305" w:lineRule="exact"/>
        <w:ind w:left="699"/>
        <w:rPr>
          <w:rFonts w:hint="default" w:ascii="Times New Roman" w:hAnsi="Times New Roman" w:cs="Times New Roman"/>
        </w:rPr>
      </w:pPr>
      <w:r>
        <w:rPr>
          <w:rFonts w:hint="default" w:ascii="Times New Roman" w:hAnsi="Times New Roman" w:eastAsia="Times New Roman" w:cs="Times New Roman"/>
        </w:rPr>
        <w:t>4</w:t>
      </w:r>
      <w:r>
        <w:rPr>
          <w:rFonts w:hint="default" w:ascii="Times New Roman" w:hAnsi="Times New Roman" w:cs="Times New Roman"/>
        </w:rPr>
        <w:t>、固体废弃物</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项目生活垃圾统一收集后交由环卫部门统一处理。项目产生的废包装材料、废边角料、不合格品属于一般固废，应统一收集，外售或者回用处理。项目产生的废包装桶、废含油抹布、废PS版、废树脂版、废菲林、废活性炭属于危险废物，交由有危险废物处置资质的单位处理。</w:t>
      </w:r>
    </w:p>
    <w:p>
      <w:pPr>
        <w:pStyle w:val="3"/>
        <w:spacing w:before="50"/>
        <w:ind w:left="699"/>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、总结论：</w:t>
      </w:r>
    </w:p>
    <w:p>
      <w:pPr>
        <w:pStyle w:val="5"/>
        <w:spacing w:before="159" w:line="364" w:lineRule="auto"/>
        <w:ind w:left="219" w:right="239" w:firstLine="480"/>
        <w:jc w:val="both"/>
        <w:rPr>
          <w:rFonts w:hint="default" w:ascii="Times New Roman" w:hAnsi="Times New Roman" w:cs="Times New Roman"/>
        </w:rPr>
      </w:pPr>
      <w:r>
        <w:rPr>
          <w:rFonts w:hint="default" w:ascii="Times New Roman" w:hAnsi="Times New Roman" w:cs="Times New Roman"/>
        </w:rPr>
        <w:pict>
          <v:group id="_x0000_s1171" o:spid="_x0000_s1171" o:spt="203" style="position:absolute;left:0pt;margin-left:59.4pt;margin-top:90.15pt;height:706.45pt;width:476.4pt;mso-position-horizontal-relative:page;mso-position-vertical-relative:page;z-index:-251639808;mso-width-relative:page;mso-height-relative:page;" coordorigin="1188,1804" coordsize="9528,13430">
            <o:lock v:ext="edit" aspectratio="f"/>
            <v:line id="_x0000_s1172" o:spid="_x0000_s1172" o:spt="20" style="position:absolute;left:1188;top:1808;height:0;width:9528;" filled="f" stroked="t" coordsize="21600,21600">
              <v:path arrowok="t"/>
              <v:fill on="f" focussize="0,0"/>
              <v:stroke weight="0.48pt" color="#000000"/>
              <v:imagedata o:title=""/>
              <o:lock v:ext="edit" aspectratio="f"/>
            </v:line>
            <v:line id="_x0000_s1173" o:spid="_x0000_s1173" o:spt="20" style="position:absolute;left:1188;top:15228;height:0;width:9528;" filled="f" stroked="t" coordsize="21600,21600">
              <v:path arrowok="t"/>
              <v:fill on="f" focussize="0,0"/>
              <v:stroke weight="0.48pt" color="#000000"/>
              <v:imagedata o:title=""/>
              <o:lock v:ext="edit" aspectratio="f"/>
            </v:line>
            <v:line id="_x0000_s1174" o:spid="_x0000_s1174" o:spt="20" style="position:absolute;left:1193;top:1804;height:13419;width:0;" filled="f" stroked="t" coordsize="21600,21600">
              <v:path arrowok="t"/>
              <v:fill on="f" focussize="0,0"/>
              <v:stroke weight="0.48pt" color="#000000"/>
              <v:imagedata o:title=""/>
              <o:lock v:ext="edit" aspectratio="f"/>
            </v:line>
            <v:line id="_x0000_s1175" o:spid="_x0000_s1175" o:spt="20" style="position:absolute;left:10711;top:1804;height:13419;width:0;" filled="f" stroked="t" coordsize="21600,21600">
              <v:path arrowok="t"/>
              <v:fill on="f" focussize="0,0"/>
              <v:stroke weight="0.48pt" color="#000000"/>
              <v:imagedata o:title=""/>
              <o:lock v:ext="edit" aspectratio="f"/>
            </v:line>
          </v:group>
        </w:pict>
      </w:r>
      <w:r>
        <w:rPr>
          <w:rFonts w:hint="default" w:ascii="Times New Roman" w:hAnsi="Times New Roman" w:cs="Times New Roman"/>
        </w:rPr>
        <w:t>根据《建设项目竣工环境保护验收暂行办法》（国环规环评〔</w:t>
      </w:r>
      <w:r>
        <w:rPr>
          <w:rFonts w:hint="default" w:ascii="Times New Roman" w:hAnsi="Times New Roman" w:eastAsia="Times New Roman" w:cs="Times New Roman"/>
        </w:rPr>
        <w:t>2017</w:t>
      </w:r>
      <w:r>
        <w:rPr>
          <w:rFonts w:hint="default" w:ascii="Times New Roman" w:hAnsi="Times New Roman" w:cs="Times New Roman"/>
        </w:rPr>
        <w:t>〕</w:t>
      </w:r>
      <w:r>
        <w:rPr>
          <w:rFonts w:hint="default" w:ascii="Times New Roman" w:hAnsi="Times New Roman" w:eastAsia="Times New Roman" w:cs="Times New Roman"/>
        </w:rPr>
        <w:t xml:space="preserve">4 </w:t>
      </w:r>
      <w:r>
        <w:rPr>
          <w:rFonts w:hint="default" w:ascii="Times New Roman" w:hAnsi="Times New Roman" w:cs="Times New Roman"/>
        </w:rPr>
        <w:t>号），</w:t>
      </w:r>
      <w:r>
        <w:rPr>
          <w:rFonts w:hint="default" w:ascii="Times New Roman" w:hAnsi="Times New Roman" w:cs="Times New Roman"/>
          <w:spacing w:val="-5"/>
        </w:rPr>
        <w:t>建设项</w:t>
      </w:r>
      <w:r>
        <w:rPr>
          <w:rFonts w:hint="default" w:ascii="Times New Roman" w:hAnsi="Times New Roman" w:cs="Times New Roman"/>
          <w:spacing w:val="-4"/>
        </w:rPr>
        <w:t>目环境保护设施存在下列情形之一的，建设单位不得提出验收合格意见的情况，项目实际</w:t>
      </w:r>
      <w:r>
        <w:rPr>
          <w:rFonts w:hint="default" w:ascii="Times New Roman" w:hAnsi="Times New Roman" w:cs="Times New Roman"/>
        </w:rPr>
        <w:t>如下：</w:t>
      </w:r>
    </w:p>
    <w:p>
      <w:pPr>
        <w:pStyle w:val="5"/>
        <w:spacing w:before="159" w:line="364" w:lineRule="auto"/>
        <w:ind w:left="219" w:right="239" w:firstLine="480"/>
        <w:jc w:val="both"/>
      </w:pPr>
    </w:p>
    <w:p>
      <w:pPr>
        <w:pStyle w:val="5"/>
        <w:spacing w:before="159" w:line="364" w:lineRule="auto"/>
        <w:ind w:left="219" w:right="239" w:firstLine="480"/>
        <w:jc w:val="both"/>
      </w:pPr>
    </w:p>
    <w:p>
      <w:pPr>
        <w:pStyle w:val="5"/>
        <w:spacing w:before="159" w:line="364" w:lineRule="auto"/>
        <w:ind w:left="219" w:right="239" w:firstLine="480"/>
        <w:jc w:val="both"/>
      </w:pPr>
    </w:p>
    <w:p>
      <w:pPr>
        <w:tabs>
          <w:tab w:val="left" w:pos="753"/>
        </w:tabs>
        <w:spacing w:before="0" w:after="5" w:line="267" w:lineRule="exact"/>
        <w:ind w:left="0" w:right="1" w:firstLine="0"/>
        <w:jc w:val="center"/>
        <w:rPr>
          <w:b/>
          <w:sz w:val="21"/>
        </w:rPr>
      </w:pPr>
      <w:r>
        <w:pict>
          <v:group id="_x0000_s1176" o:spid="_x0000_s1176" o:spt="203" style="position:absolute;left:0pt;margin-left:59.4pt;margin-top:90.15pt;height:713.95pt;width:476.4pt;mso-position-horizontal-relative:page;mso-position-vertical-relative:page;z-index:-251638784;mso-width-relative:page;mso-height-relative:page;" coordorigin="1188,1804" coordsize="9528,13430">
            <o:lock v:ext="edit" aspectratio="f"/>
            <v:line id="_x0000_s1177" o:spid="_x0000_s1177" o:spt="20" style="position:absolute;left:1188;top:1808;height:0;width:9528;" filled="f" stroked="t" coordsize="21600,21600">
              <v:path arrowok="t"/>
              <v:fill on="f" focussize="0,0"/>
              <v:stroke weight="0.48pt" color="#000000"/>
              <v:imagedata o:title=""/>
              <o:lock v:ext="edit" aspectratio="f"/>
            </v:line>
            <v:line id="_x0000_s1178" o:spid="_x0000_s1178" o:spt="20" style="position:absolute;left:1188;top:15228;height:0;width:9528;" filled="f" stroked="t" coordsize="21600,21600">
              <v:path arrowok="t"/>
              <v:fill on="f" focussize="0,0"/>
              <v:stroke weight="0.48pt" color="#000000"/>
              <v:imagedata o:title=""/>
              <o:lock v:ext="edit" aspectratio="f"/>
            </v:line>
            <v:line id="_x0000_s1179" o:spid="_x0000_s1179" o:spt="20" style="position:absolute;left:1193;top:1804;height:13419;width:0;" filled="f" stroked="t" coordsize="21600,21600">
              <v:path arrowok="t"/>
              <v:fill on="f" focussize="0,0"/>
              <v:stroke weight="0.48pt" color="#000000"/>
              <v:imagedata o:title=""/>
              <o:lock v:ext="edit" aspectratio="f"/>
            </v:line>
            <v:line id="_x0000_s1180" o:spid="_x0000_s1180" o:spt="20" style="position:absolute;left:10711;top:1804;height:13419;width:0;" filled="f" stroked="t" coordsize="21600,21600">
              <v:path arrowok="t"/>
              <v:fill on="f" focussize="0,0"/>
              <v:stroke weight="0.48pt" color="#000000"/>
              <v:imagedata o:title=""/>
              <o:lock v:ext="edit" aspectratio="f"/>
            </v:line>
          </v:group>
        </w:pict>
      </w:r>
      <w:r>
        <w:rPr>
          <w:b/>
          <w:sz w:val="21"/>
        </w:rPr>
        <w:t>表</w:t>
      </w:r>
      <w:r>
        <w:rPr>
          <w:b/>
          <w:spacing w:val="-55"/>
          <w:sz w:val="21"/>
        </w:rPr>
        <w:t xml:space="preserve"> </w:t>
      </w:r>
      <w:r>
        <w:rPr>
          <w:rFonts w:ascii="Times New Roman" w:eastAsia="Times New Roman"/>
          <w:b/>
          <w:sz w:val="21"/>
        </w:rPr>
        <w:t>8-1</w:t>
      </w:r>
      <w:r>
        <w:rPr>
          <w:rFonts w:ascii="Times New Roman" w:eastAsia="Times New Roman"/>
          <w:b/>
          <w:sz w:val="21"/>
        </w:rPr>
        <w:tab/>
      </w:r>
      <w:r>
        <w:rPr>
          <w:b/>
          <w:sz w:val="21"/>
        </w:rPr>
        <w:t>与国环规环评〔</w:t>
      </w:r>
      <w:r>
        <w:rPr>
          <w:rFonts w:ascii="Times New Roman" w:eastAsia="Times New Roman"/>
          <w:b/>
          <w:sz w:val="21"/>
        </w:rPr>
        <w:t>2017</w:t>
      </w:r>
      <w:r>
        <w:rPr>
          <w:b/>
          <w:sz w:val="21"/>
        </w:rPr>
        <w:t>〕</w:t>
      </w:r>
      <w:r>
        <w:rPr>
          <w:rFonts w:ascii="Times New Roman" w:eastAsia="Times New Roman"/>
          <w:b/>
          <w:sz w:val="21"/>
        </w:rPr>
        <w:t>4</w:t>
      </w:r>
      <w:r>
        <w:rPr>
          <w:rFonts w:ascii="Times New Roman" w:eastAsia="Times New Roman"/>
          <w:b/>
          <w:spacing w:val="-1"/>
          <w:sz w:val="21"/>
        </w:rPr>
        <w:t xml:space="preserve"> </w:t>
      </w:r>
      <w:r>
        <w:rPr>
          <w:b/>
          <w:sz w:val="21"/>
        </w:rPr>
        <w:t>号不得提出验收合格意见对照分析</w:t>
      </w:r>
    </w:p>
    <w:tbl>
      <w:tblPr>
        <w:tblStyle w:val="10"/>
        <w:tblW w:w="0" w:type="auto"/>
        <w:tblInd w:w="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20"/>
        <w:gridCol w:w="3244"/>
        <w:gridCol w:w="1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4820" w:type="dxa"/>
          </w:tcPr>
          <w:p>
            <w:pPr>
              <w:pStyle w:val="15"/>
              <w:spacing w:before="8"/>
              <w:ind w:left="76" w:right="53"/>
              <w:jc w:val="center"/>
              <w:rPr>
                <w:b/>
                <w:sz w:val="21"/>
              </w:rPr>
            </w:pPr>
            <w:r>
              <w:rPr>
                <w:b/>
                <w:sz w:val="21"/>
              </w:rPr>
              <w:t>国环规环评〔2017〕4 号中不得提出验收合格意见</w:t>
            </w:r>
          </w:p>
          <w:p>
            <w:pPr>
              <w:pStyle w:val="15"/>
              <w:spacing w:before="56"/>
              <w:ind w:left="61" w:right="53"/>
              <w:jc w:val="center"/>
              <w:rPr>
                <w:b/>
                <w:sz w:val="21"/>
              </w:rPr>
            </w:pPr>
            <w:r>
              <w:rPr>
                <w:b/>
                <w:sz w:val="21"/>
              </w:rPr>
              <w:t>的情况</w:t>
            </w:r>
          </w:p>
        </w:tc>
        <w:tc>
          <w:tcPr>
            <w:tcW w:w="3244" w:type="dxa"/>
          </w:tcPr>
          <w:p>
            <w:pPr>
              <w:pStyle w:val="15"/>
              <w:spacing w:before="170"/>
              <w:ind w:left="151" w:right="137"/>
              <w:jc w:val="center"/>
              <w:rPr>
                <w:b/>
                <w:sz w:val="21"/>
              </w:rPr>
            </w:pPr>
            <w:r>
              <w:rPr>
                <w:b/>
                <w:sz w:val="21"/>
              </w:rPr>
              <w:t>本项目情况</w:t>
            </w:r>
          </w:p>
        </w:tc>
        <w:tc>
          <w:tcPr>
            <w:tcW w:w="1032" w:type="dxa"/>
          </w:tcPr>
          <w:p>
            <w:pPr>
              <w:pStyle w:val="15"/>
              <w:spacing w:before="8"/>
              <w:ind w:left="306"/>
              <w:rPr>
                <w:b/>
                <w:sz w:val="21"/>
              </w:rPr>
            </w:pPr>
            <w:r>
              <w:rPr>
                <w:b/>
                <w:sz w:val="21"/>
              </w:rPr>
              <w:t>是否</w:t>
            </w:r>
          </w:p>
          <w:p>
            <w:pPr>
              <w:pStyle w:val="15"/>
              <w:spacing w:before="56"/>
              <w:ind w:left="306"/>
              <w:rPr>
                <w:b/>
                <w:sz w:val="21"/>
              </w:rPr>
            </w:pPr>
            <w:r>
              <w:rPr>
                <w:b/>
                <w:sz w:val="21"/>
              </w:rPr>
              <w:t>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4820" w:type="dxa"/>
          </w:tcPr>
          <w:p>
            <w:pPr>
              <w:pStyle w:val="15"/>
              <w:spacing w:before="112" w:line="290" w:lineRule="auto"/>
              <w:ind w:left="106" w:right="95" w:hanging="1"/>
              <w:jc w:val="center"/>
              <w:rPr>
                <w:sz w:val="21"/>
              </w:rPr>
            </w:pPr>
            <w:r>
              <w:rPr>
                <w:sz w:val="21"/>
              </w:rPr>
              <w:t>（一</w:t>
            </w:r>
            <w:r>
              <w:rPr>
                <w:spacing w:val="-5"/>
                <w:sz w:val="21"/>
              </w:rPr>
              <w:t>）</w:t>
            </w:r>
            <w:r>
              <w:rPr>
                <w:spacing w:val="-1"/>
                <w:sz w:val="21"/>
              </w:rPr>
              <w:t>未按环境影响报告书</w:t>
            </w:r>
            <w:r>
              <w:rPr>
                <w:sz w:val="21"/>
              </w:rPr>
              <w:t>（表</w:t>
            </w:r>
            <w:r>
              <w:rPr>
                <w:spacing w:val="-5"/>
                <w:sz w:val="21"/>
              </w:rPr>
              <w:t>）</w:t>
            </w:r>
            <w:r>
              <w:rPr>
                <w:spacing w:val="-3"/>
                <w:sz w:val="21"/>
              </w:rPr>
              <w:t>及其审批部门审批决定要求建成环境保护设施，或者环境保护设施</w:t>
            </w:r>
            <w:r>
              <w:rPr>
                <w:sz w:val="21"/>
              </w:rPr>
              <w:t>不能与主体工程同时投产或者使用的；</w:t>
            </w:r>
          </w:p>
        </w:tc>
        <w:tc>
          <w:tcPr>
            <w:tcW w:w="3244" w:type="dxa"/>
          </w:tcPr>
          <w:p>
            <w:pPr>
              <w:pStyle w:val="15"/>
              <w:spacing w:before="112" w:line="290" w:lineRule="auto"/>
              <w:ind w:left="151" w:right="140"/>
              <w:jc w:val="center"/>
              <w:rPr>
                <w:sz w:val="21"/>
              </w:rPr>
            </w:pPr>
            <w:r>
              <w:rPr>
                <w:sz w:val="21"/>
              </w:rPr>
              <w:t>本项目已按环评及批复要求建成环保设施，并已与主体工程同时使用。</w:t>
            </w:r>
          </w:p>
        </w:tc>
        <w:tc>
          <w:tcPr>
            <w:tcW w:w="1032" w:type="dxa"/>
          </w:tcPr>
          <w:p>
            <w:pPr>
              <w:pStyle w:val="15"/>
              <w:rPr>
                <w:b/>
                <w:sz w:val="20"/>
              </w:rPr>
            </w:pPr>
          </w:p>
          <w:p>
            <w:pPr>
              <w:pStyle w:val="15"/>
              <w:spacing w:before="3"/>
              <w:rPr>
                <w:b/>
                <w:sz w:val="14"/>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4820" w:type="dxa"/>
          </w:tcPr>
          <w:p>
            <w:pPr>
              <w:pStyle w:val="15"/>
              <w:spacing w:before="8" w:line="290" w:lineRule="auto"/>
              <w:ind w:left="83" w:right="72"/>
              <w:jc w:val="center"/>
              <w:rPr>
                <w:sz w:val="21"/>
              </w:rPr>
            </w:pPr>
            <w:r>
              <w:rPr>
                <w:sz w:val="21"/>
              </w:rPr>
              <w:t>（二）污染物排放不符合国家和地方相关标准、环境影响报告书（表）及其审批部门审批决定或者重</w:t>
            </w:r>
          </w:p>
          <w:p>
            <w:pPr>
              <w:pStyle w:val="15"/>
              <w:spacing w:before="2"/>
              <w:ind w:left="61" w:right="53"/>
              <w:jc w:val="center"/>
              <w:rPr>
                <w:sz w:val="21"/>
              </w:rPr>
            </w:pPr>
            <w:r>
              <w:rPr>
                <w:sz w:val="21"/>
              </w:rPr>
              <w:t>点污染物排放总量控制指标要求的；</w:t>
            </w:r>
          </w:p>
        </w:tc>
        <w:tc>
          <w:tcPr>
            <w:tcW w:w="3244" w:type="dxa"/>
          </w:tcPr>
          <w:p>
            <w:pPr>
              <w:pStyle w:val="15"/>
              <w:spacing w:before="8" w:line="290" w:lineRule="auto"/>
              <w:ind w:left="151" w:right="140"/>
              <w:jc w:val="center"/>
              <w:rPr>
                <w:sz w:val="21"/>
              </w:rPr>
            </w:pPr>
            <w:r>
              <w:rPr>
                <w:sz w:val="21"/>
              </w:rPr>
              <w:t>污染物排放符合国家和地方相关标准、环境影响报告表及审批部</w:t>
            </w:r>
          </w:p>
          <w:p>
            <w:pPr>
              <w:pStyle w:val="15"/>
              <w:spacing w:before="2"/>
              <w:ind w:left="150" w:right="140"/>
              <w:jc w:val="center"/>
              <w:rPr>
                <w:sz w:val="21"/>
              </w:rPr>
            </w:pPr>
            <w:r>
              <w:rPr>
                <w:sz w:val="21"/>
              </w:rPr>
              <w:t>门审批决定，达标排放。</w:t>
            </w:r>
          </w:p>
        </w:tc>
        <w:tc>
          <w:tcPr>
            <w:tcW w:w="1032" w:type="dxa"/>
          </w:tcPr>
          <w:p>
            <w:pPr>
              <w:pStyle w:val="15"/>
              <w:spacing w:before="1"/>
              <w:rPr>
                <w:b/>
                <w:sz w:val="26"/>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4820" w:type="dxa"/>
          </w:tcPr>
          <w:p>
            <w:pPr>
              <w:pStyle w:val="15"/>
              <w:spacing w:before="13" w:line="290" w:lineRule="auto"/>
              <w:ind w:left="106" w:right="95"/>
              <w:jc w:val="both"/>
              <w:rPr>
                <w:sz w:val="21"/>
              </w:rPr>
            </w:pPr>
            <w:r>
              <w:rPr>
                <w:sz w:val="21"/>
              </w:rPr>
              <w:t>（三</w:t>
            </w:r>
            <w:r>
              <w:rPr>
                <w:spacing w:val="-4"/>
                <w:sz w:val="21"/>
              </w:rPr>
              <w:t>）</w:t>
            </w:r>
            <w:r>
              <w:rPr>
                <w:spacing w:val="-1"/>
                <w:sz w:val="21"/>
              </w:rPr>
              <w:t>环境影响报告书</w:t>
            </w:r>
            <w:r>
              <w:rPr>
                <w:sz w:val="21"/>
              </w:rPr>
              <w:t>（表</w:t>
            </w:r>
            <w:r>
              <w:rPr>
                <w:spacing w:val="-5"/>
                <w:sz w:val="21"/>
              </w:rPr>
              <w:t>）</w:t>
            </w:r>
            <w:r>
              <w:rPr>
                <w:spacing w:val="-3"/>
                <w:sz w:val="21"/>
              </w:rPr>
              <w:t>经批准后，该建设项</w:t>
            </w:r>
            <w:r>
              <w:rPr>
                <w:spacing w:val="-4"/>
                <w:sz w:val="21"/>
              </w:rPr>
              <w:t>目的性质、规模、地点、采用的生产工艺或者防治</w:t>
            </w:r>
            <w:r>
              <w:rPr>
                <w:spacing w:val="-5"/>
                <w:sz w:val="21"/>
              </w:rPr>
              <w:t>污染、防止生态破坏的措施发生重大变动，建设单</w:t>
            </w:r>
            <w:r>
              <w:rPr>
                <w:spacing w:val="-1"/>
                <w:sz w:val="21"/>
              </w:rPr>
              <w:t>位未重新报批环境影响报告书</w:t>
            </w:r>
            <w:r>
              <w:rPr>
                <w:sz w:val="21"/>
              </w:rPr>
              <w:t>（表</w:t>
            </w:r>
            <w:r>
              <w:rPr>
                <w:spacing w:val="-8"/>
                <w:sz w:val="21"/>
              </w:rPr>
              <w:t>）</w:t>
            </w:r>
            <w:r>
              <w:rPr>
                <w:spacing w:val="-3"/>
                <w:sz w:val="21"/>
              </w:rPr>
              <w:t>或者环境影响</w:t>
            </w:r>
          </w:p>
          <w:p>
            <w:pPr>
              <w:pStyle w:val="15"/>
              <w:spacing w:before="5"/>
              <w:ind w:left="1149"/>
              <w:rPr>
                <w:sz w:val="21"/>
              </w:rPr>
            </w:pPr>
            <w:r>
              <w:rPr>
                <w:sz w:val="21"/>
              </w:rPr>
              <w:t>报告书（表）未经批准的；</w:t>
            </w:r>
          </w:p>
        </w:tc>
        <w:tc>
          <w:tcPr>
            <w:tcW w:w="3244" w:type="dxa"/>
          </w:tcPr>
          <w:p>
            <w:pPr>
              <w:pStyle w:val="15"/>
              <w:rPr>
                <w:b/>
                <w:sz w:val="20"/>
              </w:rPr>
            </w:pPr>
          </w:p>
          <w:p>
            <w:pPr>
              <w:pStyle w:val="15"/>
              <w:spacing w:before="4"/>
              <w:rPr>
                <w:b/>
                <w:sz w:val="19"/>
              </w:rPr>
            </w:pPr>
          </w:p>
          <w:p>
            <w:pPr>
              <w:pStyle w:val="15"/>
              <w:spacing w:line="290" w:lineRule="auto"/>
              <w:ind w:left="1201" w:right="140" w:hanging="1050"/>
              <w:rPr>
                <w:sz w:val="21"/>
              </w:rPr>
            </w:pPr>
            <w:r>
              <w:rPr>
                <w:sz w:val="21"/>
              </w:rPr>
              <w:t>项目在建设过程中建设内容未发生变更。</w:t>
            </w:r>
          </w:p>
        </w:tc>
        <w:tc>
          <w:tcPr>
            <w:tcW w:w="1032" w:type="dxa"/>
          </w:tcPr>
          <w:p>
            <w:pPr>
              <w:pStyle w:val="15"/>
              <w:rPr>
                <w:b/>
                <w:sz w:val="20"/>
              </w:rPr>
            </w:pPr>
          </w:p>
          <w:p>
            <w:pPr>
              <w:pStyle w:val="15"/>
              <w:rPr>
                <w:b/>
                <w:sz w:val="20"/>
              </w:rPr>
            </w:pPr>
          </w:p>
          <w:p>
            <w:pPr>
              <w:pStyle w:val="15"/>
              <w:spacing w:before="154"/>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820" w:type="dxa"/>
          </w:tcPr>
          <w:p>
            <w:pPr>
              <w:pStyle w:val="15"/>
              <w:spacing w:before="24" w:line="290" w:lineRule="auto"/>
              <w:ind w:left="833" w:right="81" w:hanging="728"/>
              <w:rPr>
                <w:sz w:val="21"/>
              </w:rPr>
            </w:pPr>
            <w:r>
              <w:rPr>
                <w:sz w:val="21"/>
              </w:rPr>
              <w:t>（四）建设过程中造成重大环境污染未治理完成， 或者造成重大生态破坏未恢复的；</w:t>
            </w:r>
          </w:p>
        </w:tc>
        <w:tc>
          <w:tcPr>
            <w:tcW w:w="3244" w:type="dxa"/>
          </w:tcPr>
          <w:p>
            <w:pPr>
              <w:pStyle w:val="15"/>
              <w:spacing w:before="24" w:line="290" w:lineRule="auto"/>
              <w:ind w:left="991" w:right="140" w:hanging="840"/>
              <w:rPr>
                <w:sz w:val="21"/>
              </w:rPr>
            </w:pPr>
            <w:r>
              <w:rPr>
                <w:sz w:val="21"/>
              </w:rPr>
              <w:t>项目建设中未造成重大环境污染和生态破坏。</w:t>
            </w:r>
          </w:p>
        </w:tc>
        <w:tc>
          <w:tcPr>
            <w:tcW w:w="1032" w:type="dxa"/>
          </w:tcPr>
          <w:p>
            <w:pPr>
              <w:pStyle w:val="15"/>
              <w:spacing w:before="6"/>
              <w:rPr>
                <w:b/>
                <w:sz w:val="14"/>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4820" w:type="dxa"/>
          </w:tcPr>
          <w:p>
            <w:pPr>
              <w:pStyle w:val="15"/>
              <w:spacing w:before="172" w:line="290" w:lineRule="auto"/>
              <w:ind w:left="1569" w:right="49" w:hanging="1463"/>
              <w:rPr>
                <w:sz w:val="21"/>
              </w:rPr>
            </w:pPr>
            <w:r>
              <w:rPr>
                <w:sz w:val="21"/>
              </w:rPr>
              <w:t>（五）纳入排污许可管理的建设项目，无证排污或者不按证排污的；</w:t>
            </w:r>
          </w:p>
        </w:tc>
        <w:tc>
          <w:tcPr>
            <w:tcW w:w="3244" w:type="dxa"/>
          </w:tcPr>
          <w:p>
            <w:pPr>
              <w:pStyle w:val="15"/>
              <w:spacing w:before="8" w:line="290" w:lineRule="auto"/>
              <w:ind w:left="126" w:right="114" w:hanging="1"/>
              <w:jc w:val="center"/>
              <w:rPr>
                <w:sz w:val="21"/>
              </w:rPr>
            </w:pPr>
            <w:r>
              <w:rPr>
                <w:sz w:val="21"/>
              </w:rPr>
              <w:t>对照《固定污染源排污许可分类管理名录（2019</w:t>
            </w:r>
            <w:r>
              <w:rPr>
                <w:spacing w:val="-22"/>
                <w:sz w:val="21"/>
              </w:rPr>
              <w:t xml:space="preserve"> 年版</w:t>
            </w:r>
            <w:r>
              <w:rPr>
                <w:sz w:val="21"/>
              </w:rPr>
              <w:t>）》，本项</w:t>
            </w:r>
          </w:p>
          <w:p>
            <w:pPr>
              <w:pStyle w:val="15"/>
              <w:spacing w:before="2"/>
              <w:ind w:left="150" w:right="140"/>
              <w:jc w:val="center"/>
              <w:rPr>
                <w:sz w:val="21"/>
              </w:rPr>
            </w:pPr>
            <w:r>
              <w:rPr>
                <w:sz w:val="21"/>
              </w:rPr>
              <w:t>目不纳入排污许可管理。</w:t>
            </w:r>
          </w:p>
        </w:tc>
        <w:tc>
          <w:tcPr>
            <w:tcW w:w="1032" w:type="dxa"/>
          </w:tcPr>
          <w:p>
            <w:pPr>
              <w:pStyle w:val="15"/>
              <w:spacing w:before="2"/>
              <w:rPr>
                <w:b/>
                <w:sz w:val="26"/>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2" w:hRule="atLeast"/>
        </w:trPr>
        <w:tc>
          <w:tcPr>
            <w:tcW w:w="4820" w:type="dxa"/>
          </w:tcPr>
          <w:p>
            <w:pPr>
              <w:pStyle w:val="15"/>
              <w:spacing w:before="170" w:line="290" w:lineRule="auto"/>
              <w:ind w:left="100" w:right="89"/>
              <w:jc w:val="center"/>
              <w:rPr>
                <w:sz w:val="21"/>
              </w:rPr>
            </w:pPr>
            <w:r>
              <w:rPr>
                <w:sz w:val="21"/>
              </w:rPr>
              <w:t>（六）分期建设、分期投入生产或者使用依法应当分期验收的建设项目，其分期建设、分期投入生产或者使用的环境保护设施防治环境污染和生态破坏的能力不能满足其相应主体工程需要的；</w:t>
            </w:r>
          </w:p>
        </w:tc>
        <w:tc>
          <w:tcPr>
            <w:tcW w:w="3244" w:type="dxa"/>
          </w:tcPr>
          <w:p>
            <w:pPr>
              <w:pStyle w:val="15"/>
              <w:rPr>
                <w:b/>
                <w:sz w:val="26"/>
              </w:rPr>
            </w:pPr>
          </w:p>
          <w:p>
            <w:pPr>
              <w:pStyle w:val="15"/>
              <w:spacing w:line="290" w:lineRule="auto"/>
              <w:ind w:left="108" w:right="-15"/>
              <w:jc w:val="center"/>
              <w:rPr>
                <w:sz w:val="21"/>
              </w:rPr>
            </w:pPr>
            <w:r>
              <w:rPr>
                <w:spacing w:val="-4"/>
                <w:sz w:val="21"/>
              </w:rPr>
              <w:t>项目无分期建设、分期投产情况。</w:t>
            </w:r>
            <w:r>
              <w:rPr>
                <w:sz w:val="21"/>
              </w:rPr>
              <w:t>建设环境保护设施防治环境污染能力满足主体工程需要。</w:t>
            </w:r>
          </w:p>
        </w:tc>
        <w:tc>
          <w:tcPr>
            <w:tcW w:w="1032" w:type="dxa"/>
          </w:tcPr>
          <w:p>
            <w:pPr>
              <w:pStyle w:val="15"/>
              <w:rPr>
                <w:b/>
                <w:sz w:val="20"/>
              </w:rPr>
            </w:pPr>
          </w:p>
          <w:p>
            <w:pPr>
              <w:pStyle w:val="15"/>
              <w:rPr>
                <w:b/>
                <w:sz w:val="20"/>
              </w:rPr>
            </w:pPr>
          </w:p>
          <w:p>
            <w:pPr>
              <w:pStyle w:val="15"/>
              <w:spacing w:before="148"/>
              <w:ind w:left="11"/>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4820" w:type="dxa"/>
          </w:tcPr>
          <w:p>
            <w:pPr>
              <w:pStyle w:val="15"/>
              <w:spacing w:before="8" w:line="290" w:lineRule="auto"/>
              <w:ind w:left="83" w:right="72"/>
              <w:jc w:val="center"/>
              <w:rPr>
                <w:sz w:val="21"/>
              </w:rPr>
            </w:pPr>
            <w:r>
              <w:rPr>
                <w:sz w:val="21"/>
              </w:rPr>
              <w:t>（七）建设单位因该建设项目违反国家和地方环境保护法律法规受到处罚，被责令改正，尚未改正完</w:t>
            </w:r>
          </w:p>
          <w:p>
            <w:pPr>
              <w:pStyle w:val="15"/>
              <w:spacing w:before="3"/>
              <w:ind w:left="60" w:right="53"/>
              <w:jc w:val="center"/>
              <w:rPr>
                <w:sz w:val="21"/>
              </w:rPr>
            </w:pPr>
            <w:r>
              <w:rPr>
                <w:sz w:val="21"/>
              </w:rPr>
              <w:t>成的；</w:t>
            </w:r>
          </w:p>
        </w:tc>
        <w:tc>
          <w:tcPr>
            <w:tcW w:w="3244" w:type="dxa"/>
          </w:tcPr>
          <w:p>
            <w:pPr>
              <w:pStyle w:val="15"/>
              <w:spacing w:before="8" w:line="290" w:lineRule="auto"/>
              <w:ind w:left="151" w:right="140"/>
              <w:jc w:val="center"/>
              <w:rPr>
                <w:sz w:val="21"/>
              </w:rPr>
            </w:pPr>
            <w:r>
              <w:rPr>
                <w:sz w:val="21"/>
              </w:rPr>
              <w:t>本项目前期未违反国家和地方环境保护法律法规受到处罚，目前</w:t>
            </w:r>
          </w:p>
          <w:p>
            <w:pPr>
              <w:pStyle w:val="15"/>
              <w:spacing w:before="3"/>
              <w:ind w:left="149" w:right="140"/>
              <w:jc w:val="center"/>
              <w:rPr>
                <w:sz w:val="21"/>
              </w:rPr>
            </w:pPr>
            <w:r>
              <w:rPr>
                <w:sz w:val="21"/>
              </w:rPr>
              <w:t>已完善了相应的环保手续。</w:t>
            </w:r>
          </w:p>
        </w:tc>
        <w:tc>
          <w:tcPr>
            <w:tcW w:w="1032" w:type="dxa"/>
          </w:tcPr>
          <w:p>
            <w:pPr>
              <w:pStyle w:val="15"/>
              <w:spacing w:before="2"/>
              <w:rPr>
                <w:b/>
                <w:sz w:val="26"/>
              </w:rPr>
            </w:pPr>
          </w:p>
          <w:p>
            <w:pPr>
              <w:pStyle w:val="15"/>
              <w:ind w:left="11"/>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4820" w:type="dxa"/>
          </w:tcPr>
          <w:p>
            <w:pPr>
              <w:pStyle w:val="15"/>
              <w:spacing w:before="9" w:line="290" w:lineRule="auto"/>
              <w:ind w:left="83" w:right="72"/>
              <w:jc w:val="center"/>
              <w:rPr>
                <w:sz w:val="21"/>
              </w:rPr>
            </w:pPr>
            <w:r>
              <w:rPr>
                <w:sz w:val="21"/>
              </w:rPr>
              <w:t>（八）验收报告的基础资料数据明显不实，内容存在重大缺项、遗漏，或者验收结论不明确、不合理</w:t>
            </w:r>
          </w:p>
          <w:p>
            <w:pPr>
              <w:pStyle w:val="15"/>
              <w:spacing w:before="2"/>
              <w:ind w:left="62" w:right="53"/>
              <w:jc w:val="center"/>
              <w:rPr>
                <w:sz w:val="21"/>
              </w:rPr>
            </w:pPr>
            <w:r>
              <w:rPr>
                <w:sz w:val="21"/>
              </w:rPr>
              <w:t>的。</w:t>
            </w:r>
          </w:p>
        </w:tc>
        <w:tc>
          <w:tcPr>
            <w:tcW w:w="3244" w:type="dxa"/>
          </w:tcPr>
          <w:p>
            <w:pPr>
              <w:pStyle w:val="15"/>
              <w:spacing w:before="172" w:line="290" w:lineRule="auto"/>
              <w:ind w:left="677" w:right="140" w:hanging="526"/>
              <w:rPr>
                <w:sz w:val="21"/>
              </w:rPr>
            </w:pPr>
            <w:r>
              <w:rPr>
                <w:sz w:val="21"/>
              </w:rPr>
              <w:t>验收报告基础数据真实、内容完善，验收结论明确。</w:t>
            </w:r>
          </w:p>
        </w:tc>
        <w:tc>
          <w:tcPr>
            <w:tcW w:w="1032" w:type="dxa"/>
          </w:tcPr>
          <w:p>
            <w:pPr>
              <w:pStyle w:val="15"/>
              <w:spacing w:before="2"/>
              <w:rPr>
                <w:b/>
                <w:sz w:val="26"/>
              </w:rPr>
            </w:pPr>
          </w:p>
          <w:p>
            <w:pPr>
              <w:pStyle w:val="15"/>
              <w:spacing w:before="1"/>
              <w:ind w:left="11"/>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4820" w:type="dxa"/>
          </w:tcPr>
          <w:p>
            <w:pPr>
              <w:pStyle w:val="15"/>
              <w:spacing w:before="72" w:line="242" w:lineRule="auto"/>
              <w:ind w:left="1569" w:right="49" w:hanging="1463"/>
              <w:rPr>
                <w:sz w:val="21"/>
              </w:rPr>
            </w:pPr>
            <w:r>
              <w:rPr>
                <w:sz w:val="21"/>
              </w:rPr>
              <w:t>（九）其他环境保护法律法规规章等规定不得通过环境保护验收的。</w:t>
            </w:r>
          </w:p>
        </w:tc>
        <w:tc>
          <w:tcPr>
            <w:tcW w:w="3244" w:type="dxa"/>
          </w:tcPr>
          <w:p>
            <w:pPr>
              <w:pStyle w:val="15"/>
              <w:spacing w:before="18" w:line="290" w:lineRule="auto"/>
              <w:ind w:left="887" w:right="140" w:hanging="736"/>
              <w:rPr>
                <w:sz w:val="21"/>
              </w:rPr>
            </w:pPr>
            <w:r>
              <w:rPr>
                <w:sz w:val="21"/>
              </w:rPr>
              <w:t>本项目满足环境保护法律法规规章等相关规定。</w:t>
            </w:r>
          </w:p>
        </w:tc>
        <w:tc>
          <w:tcPr>
            <w:tcW w:w="1032" w:type="dxa"/>
          </w:tcPr>
          <w:p>
            <w:pPr>
              <w:pStyle w:val="15"/>
              <w:spacing w:before="180"/>
              <w:ind w:left="11"/>
              <w:jc w:val="center"/>
              <w:rPr>
                <w:sz w:val="21"/>
              </w:rPr>
            </w:pPr>
            <w:r>
              <w:rPr>
                <w:sz w:val="21"/>
              </w:rPr>
              <w:t>否</w:t>
            </w:r>
          </w:p>
        </w:tc>
      </w:tr>
    </w:tbl>
    <w:p>
      <w:pPr>
        <w:pStyle w:val="5"/>
        <w:spacing w:before="128" w:line="364" w:lineRule="auto"/>
        <w:ind w:left="219" w:right="239" w:firstLine="480"/>
        <w:jc w:val="both"/>
        <w:rPr>
          <w:rFonts w:hint="default"/>
          <w:spacing w:val="-5"/>
          <w:lang w:val="en-US" w:eastAsia="zh-CN"/>
        </w:rPr>
      </w:pPr>
      <w:r>
        <w:t>经过核查，该项目建设环评手续齐全，按照环保</w:t>
      </w:r>
      <w:r>
        <w:rPr>
          <w:rFonts w:ascii="Times New Roman" w:hAnsi="Times New Roman" w:eastAsia="Times New Roman"/>
        </w:rPr>
        <w:t>“</w:t>
      </w:r>
      <w:r>
        <w:t>三同时</w:t>
      </w:r>
      <w:r>
        <w:rPr>
          <w:rFonts w:ascii="Times New Roman" w:hAnsi="Times New Roman" w:eastAsia="Times New Roman"/>
        </w:rPr>
        <w:t>”</w:t>
      </w:r>
      <w:r>
        <w:t>的要求，项目本身产生的烟气经</w:t>
      </w:r>
      <w:r>
        <w:rPr>
          <w:rFonts w:hint="eastAsia"/>
          <w:lang w:val="en-US" w:eastAsia="zh-CN"/>
        </w:rPr>
        <w:t>活性炭吸附</w:t>
      </w:r>
      <w:r>
        <w:t>后由</w:t>
      </w:r>
      <w:r>
        <w:rPr>
          <w:rFonts w:hint="default" w:ascii="Times New Roman" w:hAnsi="Times New Roman" w:cs="Times New Roman"/>
          <w:lang w:val="en-US" w:eastAsia="zh-CN"/>
        </w:rPr>
        <w:t>15</w:t>
      </w:r>
      <w:r>
        <w:rPr>
          <w:rFonts w:ascii="Times New Roman" w:hAnsi="Times New Roman" w:eastAsia="Times New Roman"/>
        </w:rPr>
        <w:t xml:space="preserve">m </w:t>
      </w:r>
      <w:r>
        <w:rPr>
          <w:rFonts w:hint="eastAsia" w:ascii="Times New Roman" w:hAnsi="Times New Roman"/>
          <w:lang w:eastAsia="zh-CN"/>
        </w:rPr>
        <w:t>（</w:t>
      </w:r>
      <w:r>
        <w:rPr>
          <w:rFonts w:hint="eastAsia" w:ascii="Times New Roman" w:hAnsi="Times New Roman"/>
          <w:lang w:val="en-US" w:eastAsia="zh-CN"/>
        </w:rPr>
        <w:t>高于楼顶2m</w:t>
      </w:r>
      <w:r>
        <w:rPr>
          <w:rFonts w:hint="eastAsia" w:ascii="Times New Roman" w:hAnsi="Times New Roman"/>
          <w:lang w:eastAsia="zh-CN"/>
        </w:rPr>
        <w:t>）</w:t>
      </w:r>
      <w:r>
        <w:t>高的</w:t>
      </w:r>
      <w:r>
        <w:rPr>
          <w:rFonts w:hint="eastAsia"/>
          <w:lang w:val="en-US" w:eastAsia="zh-CN"/>
        </w:rPr>
        <w:t>排气筒</w:t>
      </w:r>
      <w:r>
        <w:t>外排。本项目</w:t>
      </w:r>
      <w:r>
        <w:rPr>
          <w:spacing w:val="-5"/>
        </w:rPr>
        <w:t>生活污水进入贵州宝信捷投资有限公司已建的 60m3/d 的污水处理站，处理后的污水经龙洞堡排污隧道至南明河下</w:t>
      </w:r>
      <w:r>
        <w:rPr>
          <w:rFonts w:hint="eastAsia"/>
          <w:spacing w:val="-5"/>
          <w:lang w:val="en-US" w:eastAsia="zh-CN"/>
        </w:rPr>
        <w:t>游排放。</w:t>
      </w:r>
      <w:r>
        <w:rPr>
          <w:rFonts w:hint="default"/>
          <w:spacing w:val="-5"/>
          <w:lang w:val="en-US" w:eastAsia="zh-CN"/>
        </w:rPr>
        <w:t>项目运营期产生的噪声主要有各类生产设备产生的噪声。项目通过选用低噪设备、基础减震、构筑物隔声、隔声罩隔声和距离衰减等措施来降噪。</w:t>
      </w:r>
    </w:p>
    <w:p>
      <w:pPr>
        <w:pStyle w:val="5"/>
        <w:spacing w:line="364" w:lineRule="auto"/>
        <w:ind w:left="219" w:right="186" w:firstLine="480"/>
      </w:pPr>
      <w:r>
        <w:rPr>
          <w:spacing w:val="-6"/>
        </w:rPr>
        <w:t>项目建设和运营过程中基本落实环评及批复要求，各项污染物均能达标排放。根</w:t>
      </w:r>
      <w:r>
        <w:rPr>
          <w:spacing w:val="-15"/>
        </w:rPr>
        <w:t>据验收</w:t>
      </w:r>
      <w:r>
        <w:pict>
          <v:group id="_x0000_s1181" o:spid="_x0000_s1181" o:spt="203" style="position:absolute;left:0pt;margin-left:59.4pt;margin-top:66.85pt;height:729.75pt;width:476.4pt;mso-position-horizontal-relative:page;mso-position-vertical-relative:page;z-index:-251637760;mso-width-relative:page;mso-height-relative:page;" coordorigin="1188,1804" coordsize="9528,13430">
            <o:lock v:ext="edit" aspectratio="f"/>
            <v:line id="_x0000_s1182" o:spid="_x0000_s1182" o:spt="20" style="position:absolute;left:1188;top:1808;height:0;width:9528;" filled="f" stroked="t" coordsize="21600,21600">
              <v:path arrowok="t"/>
              <v:fill on="f" focussize="0,0"/>
              <v:stroke weight="0.48pt" color="#000000"/>
              <v:imagedata o:title=""/>
              <o:lock v:ext="edit" aspectratio="f"/>
            </v:line>
            <v:line id="_x0000_s1183" o:spid="_x0000_s1183" o:spt="20" style="position:absolute;left:1188;top:15228;height:0;width:9528;" filled="f" stroked="t" coordsize="21600,21600">
              <v:path arrowok="t"/>
              <v:fill on="f" focussize="0,0"/>
              <v:stroke weight="0.48pt" color="#000000"/>
              <v:imagedata o:title=""/>
              <o:lock v:ext="edit" aspectratio="f"/>
            </v:line>
            <v:line id="_x0000_s1184" o:spid="_x0000_s1184" o:spt="20" style="position:absolute;left:1193;top:1804;height:13419;width:0;" filled="f" stroked="t" coordsize="21600,21600">
              <v:path arrowok="t"/>
              <v:fill on="f" focussize="0,0"/>
              <v:stroke weight="0.48pt" color="#000000"/>
              <v:imagedata o:title=""/>
              <o:lock v:ext="edit" aspectratio="f"/>
            </v:line>
            <v:line id="_x0000_s1185" o:spid="_x0000_s1185" o:spt="20" style="position:absolute;left:10711;top:1804;height:13419;width:0;" filled="f" stroked="t" coordsize="21600,21600">
              <v:path arrowok="t"/>
              <v:fill on="f" focussize="0,0"/>
              <v:stroke weight="0.48pt" color="#000000"/>
              <v:imagedata o:title=""/>
              <o:lock v:ext="edit" aspectratio="f"/>
            </v:line>
          </v:group>
        </w:pict>
      </w:r>
      <w:r>
        <w:rPr>
          <w:spacing w:val="-15"/>
        </w:rPr>
        <w:t>监测结果和验收小组现场检查，该项目满足竣工环境保护验收条件，环保验收合格</w:t>
      </w:r>
      <w:r>
        <w:t>，同意通过项目竣工环境保护验收。</w:t>
      </w:r>
    </w:p>
    <w:p>
      <w:pPr>
        <w:pStyle w:val="5"/>
        <w:spacing w:before="11"/>
      </w:pPr>
      <w:r>
        <w:rPr>
          <w:rFonts w:hint="eastAsia"/>
          <w:lang w:val="en-US" w:eastAsia="zh-CN"/>
        </w:rPr>
        <w:t xml:space="preserve">  </w:t>
      </w:r>
      <w:r>
        <w:t>后期需加强的环保工作：</w:t>
      </w:r>
    </w:p>
    <w:p>
      <w:pPr>
        <w:pStyle w:val="14"/>
        <w:numPr>
          <w:ilvl w:val="0"/>
          <w:numId w:val="5"/>
        </w:numPr>
        <w:tabs>
          <w:tab w:val="left" w:pos="1301"/>
        </w:tabs>
        <w:spacing w:before="159" w:after="0" w:line="240" w:lineRule="auto"/>
        <w:ind w:left="1300" w:right="0" w:hanging="602"/>
        <w:jc w:val="left"/>
        <w:rPr>
          <w:sz w:val="24"/>
        </w:rPr>
      </w:pPr>
      <w:r>
        <w:rPr>
          <w:sz w:val="24"/>
        </w:rPr>
        <w:t>加强对员工的环保教育宣传工作，增强员工的环保意识。</w:t>
      </w:r>
    </w:p>
    <w:p>
      <w:pPr>
        <w:pStyle w:val="14"/>
        <w:numPr>
          <w:ilvl w:val="0"/>
          <w:numId w:val="5"/>
        </w:numPr>
        <w:tabs>
          <w:tab w:val="left" w:pos="1305"/>
        </w:tabs>
        <w:spacing w:before="160" w:after="0" w:line="364" w:lineRule="auto"/>
        <w:ind w:left="219" w:right="248" w:firstLine="480"/>
        <w:jc w:val="left"/>
        <w:rPr>
          <w:sz w:val="24"/>
        </w:rPr>
      </w:pPr>
      <w:r>
        <w:rPr>
          <w:sz w:val="24"/>
        </w:rPr>
        <w:t>加强对环保设施的运行维护管理，定期对污染治理设施进行检修和维护，以保证污染处理设施的正常运转，污染物正常达标排放。</w:t>
      </w:r>
    </w:p>
    <w:p>
      <w:pPr>
        <w:pStyle w:val="14"/>
        <w:numPr>
          <w:ilvl w:val="0"/>
          <w:numId w:val="5"/>
        </w:numPr>
        <w:tabs>
          <w:tab w:val="left" w:pos="1301"/>
        </w:tabs>
        <w:spacing w:before="0" w:after="0" w:line="306" w:lineRule="exact"/>
        <w:ind w:left="1300" w:right="0" w:hanging="602"/>
        <w:jc w:val="left"/>
        <w:rPr>
          <w:sz w:val="24"/>
        </w:rPr>
      </w:pPr>
      <w:r>
        <w:rPr>
          <w:sz w:val="24"/>
        </w:rPr>
        <w:t>加强</w:t>
      </w:r>
      <w:r>
        <w:rPr>
          <w:rFonts w:hint="eastAsia"/>
          <w:sz w:val="24"/>
          <w:lang w:val="en-US" w:eastAsia="zh-CN"/>
        </w:rPr>
        <w:t>活性炭吸附装置</w:t>
      </w:r>
      <w:r>
        <w:rPr>
          <w:sz w:val="24"/>
        </w:rPr>
        <w:t>的管理，确保有组织废气污染物达标排放。</w:t>
      </w: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right="0" w:rightChars="0"/>
        <w:jc w:val="left"/>
        <w:rPr>
          <w:rFonts w:hint="eastAsia"/>
          <w:sz w:val="24"/>
          <w:lang w:val="en-US" w:eastAsia="zh-CN"/>
        </w:rPr>
      </w:pPr>
      <w:r>
        <w:rPr>
          <w:rFonts w:hint="eastAsia"/>
          <w:sz w:val="24"/>
          <w:lang w:val="en-US" w:eastAsia="zh-CN"/>
        </w:rPr>
        <w:t>附件1</w:t>
      </w:r>
    </w:p>
    <w:p>
      <w:pPr>
        <w:pStyle w:val="14"/>
        <w:numPr>
          <w:ilvl w:val="0"/>
          <w:numId w:val="0"/>
        </w:numPr>
        <w:tabs>
          <w:tab w:val="left" w:pos="1301"/>
        </w:tabs>
        <w:spacing w:before="0" w:after="0" w:line="240" w:lineRule="auto"/>
        <w:ind w:right="0" w:rightChars="0"/>
        <w:jc w:val="left"/>
        <w:rPr>
          <w:rFonts w:hint="default"/>
          <w:sz w:val="24"/>
          <w:lang w:val="en-US" w:eastAsia="zh-CN"/>
        </w:rPr>
      </w:pPr>
      <w:r>
        <w:rPr>
          <w:rFonts w:hint="default"/>
          <w:sz w:val="24"/>
          <w:lang w:val="en-US" w:eastAsia="zh-CN"/>
        </w:rPr>
        <w:drawing>
          <wp:inline distT="0" distB="0" distL="114300" distR="114300">
            <wp:extent cx="6201410" cy="9057640"/>
            <wp:effectExtent l="0" t="0" r="8890" b="1016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7"/>
                    <a:stretch>
                      <a:fillRect/>
                    </a:stretch>
                  </pic:blipFill>
                  <pic:spPr>
                    <a:xfrm>
                      <a:off x="0" y="0"/>
                      <a:ext cx="6201410" cy="9057640"/>
                    </a:xfrm>
                    <a:prstGeom prst="rect">
                      <a:avLst/>
                    </a:prstGeom>
                  </pic:spPr>
                </pic:pic>
              </a:graphicData>
            </a:graphic>
          </wp:inline>
        </w:drawing>
      </w:r>
      <w:r>
        <w:rPr>
          <w:rFonts w:hint="default"/>
          <w:sz w:val="24"/>
          <w:lang w:val="en-US" w:eastAsia="zh-CN"/>
        </w:rPr>
        <w:drawing>
          <wp:inline distT="0" distB="0" distL="114300" distR="114300">
            <wp:extent cx="6201410" cy="9035415"/>
            <wp:effectExtent l="0" t="0" r="8890" b="698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8"/>
                    <a:stretch>
                      <a:fillRect/>
                    </a:stretch>
                  </pic:blipFill>
                  <pic:spPr>
                    <a:xfrm>
                      <a:off x="0" y="0"/>
                      <a:ext cx="6201410" cy="9035415"/>
                    </a:xfrm>
                    <a:prstGeom prst="rect">
                      <a:avLst/>
                    </a:prstGeom>
                  </pic:spPr>
                </pic:pic>
              </a:graphicData>
            </a:graphic>
          </wp:inline>
        </w:drawing>
      </w:r>
      <w:r>
        <w:rPr>
          <w:rFonts w:hint="default"/>
          <w:sz w:val="24"/>
          <w:lang w:val="en-US" w:eastAsia="zh-CN"/>
        </w:rPr>
        <w:drawing>
          <wp:inline distT="0" distB="0" distL="114300" distR="114300">
            <wp:extent cx="6198870" cy="8728075"/>
            <wp:effectExtent l="0" t="0" r="11430" b="952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9"/>
                    <a:stretch>
                      <a:fillRect/>
                    </a:stretch>
                  </pic:blipFill>
                  <pic:spPr>
                    <a:xfrm>
                      <a:off x="0" y="0"/>
                      <a:ext cx="6198870" cy="8728075"/>
                    </a:xfrm>
                    <a:prstGeom prst="rect">
                      <a:avLst/>
                    </a:prstGeom>
                  </pic:spPr>
                </pic:pic>
              </a:graphicData>
            </a:graphic>
          </wp:inline>
        </w:drawing>
      </w:r>
      <w:r>
        <w:rPr>
          <w:rFonts w:hint="default"/>
          <w:sz w:val="24"/>
          <w:lang w:val="en-US" w:eastAsia="zh-CN"/>
        </w:rPr>
        <w:drawing>
          <wp:inline distT="0" distB="0" distL="114300" distR="114300">
            <wp:extent cx="6195695" cy="9134475"/>
            <wp:effectExtent l="0" t="0" r="1905" b="952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20"/>
                    <a:stretch>
                      <a:fillRect/>
                    </a:stretch>
                  </pic:blipFill>
                  <pic:spPr>
                    <a:xfrm>
                      <a:off x="0" y="0"/>
                      <a:ext cx="6195695" cy="9134475"/>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附件2</w:t>
      </w: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drawing>
          <wp:inline distT="0" distB="0" distL="114300" distR="114300">
            <wp:extent cx="6201410" cy="8921750"/>
            <wp:effectExtent l="0" t="0" r="8890" b="635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21"/>
                    <a:stretch>
                      <a:fillRect/>
                    </a:stretch>
                  </pic:blipFill>
                  <pic:spPr>
                    <a:xfrm>
                      <a:off x="0" y="0"/>
                      <a:ext cx="6201410" cy="8921750"/>
                    </a:xfrm>
                    <a:prstGeom prst="rect">
                      <a:avLst/>
                    </a:prstGeom>
                  </pic:spPr>
                </pic:pic>
              </a:graphicData>
            </a:graphic>
          </wp:inline>
        </w:drawing>
      </w:r>
      <w:r>
        <w:rPr>
          <w:rFonts w:hint="eastAsia"/>
          <w:sz w:val="24"/>
          <w:lang w:val="en-US" w:eastAsia="zh-CN"/>
        </w:rPr>
        <w:drawing>
          <wp:inline distT="0" distB="0" distL="114300" distR="114300">
            <wp:extent cx="6195695" cy="8449310"/>
            <wp:effectExtent l="0" t="0" r="1905" b="8890"/>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pic:cNvPicPr>
                  </pic:nvPicPr>
                  <pic:blipFill>
                    <a:blip r:embed="rId22"/>
                    <a:stretch>
                      <a:fillRect/>
                    </a:stretch>
                  </pic:blipFill>
                  <pic:spPr>
                    <a:xfrm>
                      <a:off x="0" y="0"/>
                      <a:ext cx="6195695" cy="8449310"/>
                    </a:xfrm>
                    <a:prstGeom prst="rect">
                      <a:avLst/>
                    </a:prstGeom>
                  </pic:spPr>
                </pic:pic>
              </a:graphicData>
            </a:graphic>
          </wp:inline>
        </w:drawing>
      </w:r>
      <w:r>
        <w:rPr>
          <w:rFonts w:hint="eastAsia"/>
          <w:sz w:val="24"/>
          <w:lang w:val="en-US" w:eastAsia="zh-CN"/>
        </w:rPr>
        <w:drawing>
          <wp:inline distT="0" distB="0" distL="114300" distR="114300">
            <wp:extent cx="6201410" cy="8253730"/>
            <wp:effectExtent l="0" t="0" r="8890" b="1270"/>
            <wp:docPr id="34"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
                    <pic:cNvPicPr>
                      <a:picLocks noChangeAspect="1"/>
                    </pic:cNvPicPr>
                  </pic:nvPicPr>
                  <pic:blipFill>
                    <a:blip r:embed="rId23"/>
                    <a:stretch>
                      <a:fillRect/>
                    </a:stretch>
                  </pic:blipFill>
                  <pic:spPr>
                    <a:xfrm>
                      <a:off x="0" y="0"/>
                      <a:ext cx="6201410" cy="8253730"/>
                    </a:xfrm>
                    <a:prstGeom prst="rect">
                      <a:avLst/>
                    </a:prstGeom>
                  </pic:spPr>
                </pic:pic>
              </a:graphicData>
            </a:graphic>
          </wp:inline>
        </w:drawing>
      </w:r>
      <w:r>
        <w:rPr>
          <w:rFonts w:hint="eastAsia"/>
          <w:sz w:val="24"/>
          <w:lang w:val="en-US" w:eastAsia="zh-CN"/>
        </w:rPr>
        <w:drawing>
          <wp:inline distT="0" distB="0" distL="114300" distR="114300">
            <wp:extent cx="6199505" cy="8295005"/>
            <wp:effectExtent l="0" t="0" r="10795" b="10795"/>
            <wp:docPr id="33" name="图片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
                    <pic:cNvPicPr>
                      <a:picLocks noChangeAspect="1"/>
                    </pic:cNvPicPr>
                  </pic:nvPicPr>
                  <pic:blipFill>
                    <a:blip r:embed="rId24"/>
                    <a:stretch>
                      <a:fillRect/>
                    </a:stretch>
                  </pic:blipFill>
                  <pic:spPr>
                    <a:xfrm>
                      <a:off x="0" y="0"/>
                      <a:ext cx="6199505" cy="8295005"/>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附件3</w:t>
      </w:r>
    </w:p>
    <w:p>
      <w:pPr>
        <w:pStyle w:val="14"/>
        <w:numPr>
          <w:ilvl w:val="0"/>
          <w:numId w:val="0"/>
        </w:numPr>
        <w:tabs>
          <w:tab w:val="left" w:pos="1301"/>
        </w:tabs>
        <w:spacing w:before="0" w:after="0" w:line="240" w:lineRule="auto"/>
        <w:ind w:right="0" w:rightChars="0"/>
        <w:jc w:val="left"/>
        <w:rPr>
          <w:rFonts w:hint="default"/>
          <w:sz w:val="24"/>
          <w:lang w:val="en-US" w:eastAsia="zh-CN"/>
        </w:rPr>
      </w:pPr>
      <w:r>
        <w:rPr>
          <w:rFonts w:hint="default"/>
          <w:sz w:val="24"/>
          <w:lang w:val="en-US" w:eastAsia="zh-CN"/>
        </w:rPr>
        <w:drawing>
          <wp:inline distT="0" distB="0" distL="114300" distR="114300">
            <wp:extent cx="6200775" cy="8763635"/>
            <wp:effectExtent l="0" t="0" r="9525" b="12065"/>
            <wp:docPr id="24" name="图片 24" descr="工况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况说明"/>
                    <pic:cNvPicPr>
                      <a:picLocks noChangeAspect="1"/>
                    </pic:cNvPicPr>
                  </pic:nvPicPr>
                  <pic:blipFill>
                    <a:blip r:embed="rId25"/>
                    <a:stretch>
                      <a:fillRect/>
                    </a:stretch>
                  </pic:blipFill>
                  <pic:spPr>
                    <a:xfrm>
                      <a:off x="0" y="0"/>
                      <a:ext cx="6200775" cy="8763635"/>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附件4</w:t>
      </w: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default"/>
          <w:sz w:val="24"/>
          <w:lang w:val="en-US" w:eastAsia="zh-CN"/>
        </w:rPr>
        <w:drawing>
          <wp:inline distT="0" distB="0" distL="114300" distR="114300">
            <wp:extent cx="6197600" cy="8769350"/>
            <wp:effectExtent l="0" t="0" r="0" b="6350"/>
            <wp:docPr id="23" name="图片 23" descr="QZYJC210420001贵阳天星智能包装有限公司建设项目竣工环境保护验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ZYJC210420001贵阳天星智能包装有限公司建设项目竣工环境保护验收_00"/>
                    <pic:cNvPicPr>
                      <a:picLocks noChangeAspect="1"/>
                    </pic:cNvPicPr>
                  </pic:nvPicPr>
                  <pic:blipFill>
                    <a:blip r:embed="rId26"/>
                    <a:stretch>
                      <a:fillRect/>
                    </a:stretch>
                  </pic:blipFill>
                  <pic:spPr>
                    <a:xfrm>
                      <a:off x="0" y="0"/>
                      <a:ext cx="6197600" cy="8769350"/>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default"/>
          <w:sz w:val="24"/>
          <w:lang w:val="en-US" w:eastAsia="zh-CN"/>
        </w:rPr>
      </w:pPr>
      <w:r>
        <w:rPr>
          <w:rFonts w:hint="default"/>
          <w:sz w:val="24"/>
          <w:lang w:val="en-US" w:eastAsia="zh-CN"/>
        </w:rPr>
        <w:drawing>
          <wp:inline distT="0" distB="0" distL="114300" distR="114300">
            <wp:extent cx="6197600" cy="8769350"/>
            <wp:effectExtent l="0" t="0" r="0" b="6350"/>
            <wp:docPr id="22" name="图片 22" descr="QZYJC210420001贵阳天星智能包装有限公司建设项目竣工环境保护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ZYJC210420001贵阳天星智能包装有限公司建设项目竣工环境保护验收_01"/>
                    <pic:cNvPicPr>
                      <a:picLocks noChangeAspect="1"/>
                    </pic:cNvPicPr>
                  </pic:nvPicPr>
                  <pic:blipFill>
                    <a:blip r:embed="rId27"/>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21" name="图片 21" descr="QZYJC210420001贵阳天星智能包装有限公司建设项目竣工环境保护验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ZYJC210420001贵阳天星智能包装有限公司建设项目竣工环境保护验收_02"/>
                    <pic:cNvPicPr>
                      <a:picLocks noChangeAspect="1"/>
                    </pic:cNvPicPr>
                  </pic:nvPicPr>
                  <pic:blipFill>
                    <a:blip r:embed="rId28"/>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20" name="图片 20" descr="QZYJC210420001贵阳天星智能包装有限公司建设项目竣工环境保护验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ZYJC210420001贵阳天星智能包装有限公司建设项目竣工环境保护验收_03"/>
                    <pic:cNvPicPr>
                      <a:picLocks noChangeAspect="1"/>
                    </pic:cNvPicPr>
                  </pic:nvPicPr>
                  <pic:blipFill>
                    <a:blip r:embed="rId29"/>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9" name="图片 19" descr="QZYJC210420001贵阳天星智能包装有限公司建设项目竣工环境保护验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ZYJC210420001贵阳天星智能包装有限公司建设项目竣工环境保护验收_04"/>
                    <pic:cNvPicPr>
                      <a:picLocks noChangeAspect="1"/>
                    </pic:cNvPicPr>
                  </pic:nvPicPr>
                  <pic:blipFill>
                    <a:blip r:embed="rId30"/>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8" name="图片 18" descr="QZYJC210420001贵阳天星智能包装有限公司建设项目竣工环境保护验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ZYJC210420001贵阳天星智能包装有限公司建设项目竣工环境保护验收_05"/>
                    <pic:cNvPicPr>
                      <a:picLocks noChangeAspect="1"/>
                    </pic:cNvPicPr>
                  </pic:nvPicPr>
                  <pic:blipFill>
                    <a:blip r:embed="rId31"/>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7" name="图片 17" descr="QZYJC210420001贵阳天星智能包装有限公司建设项目竣工环境保护验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ZYJC210420001贵阳天星智能包装有限公司建设项目竣工环境保护验收_06"/>
                    <pic:cNvPicPr>
                      <a:picLocks noChangeAspect="1"/>
                    </pic:cNvPicPr>
                  </pic:nvPicPr>
                  <pic:blipFill>
                    <a:blip r:embed="rId32"/>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6" name="图片 16" descr="QZYJC210420001贵阳天星智能包装有限公司建设项目竣工环境保护验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ZYJC210420001贵阳天星智能包装有限公司建设项目竣工环境保护验收_07"/>
                    <pic:cNvPicPr>
                      <a:picLocks noChangeAspect="1"/>
                    </pic:cNvPicPr>
                  </pic:nvPicPr>
                  <pic:blipFill>
                    <a:blip r:embed="rId33"/>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5" name="图片 15" descr="QZYJC210420001贵阳天星智能包装有限公司建设项目竣工环境保护验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ZYJC210420001贵阳天星智能包装有限公司建设项目竣工环境保护验收_08"/>
                    <pic:cNvPicPr>
                      <a:picLocks noChangeAspect="1"/>
                    </pic:cNvPicPr>
                  </pic:nvPicPr>
                  <pic:blipFill>
                    <a:blip r:embed="rId34"/>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4" name="图片 14" descr="QZYJC210420001贵阳天星智能包装有限公司建设项目竣工环境保护验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ZYJC210420001贵阳天星智能包装有限公司建设项目竣工环境保护验收_09"/>
                    <pic:cNvPicPr>
                      <a:picLocks noChangeAspect="1"/>
                    </pic:cNvPicPr>
                  </pic:nvPicPr>
                  <pic:blipFill>
                    <a:blip r:embed="rId35"/>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3" name="图片 13" descr="QZYJC210420001贵阳天星智能包装有限公司建设项目竣工环境保护验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ZYJC210420001贵阳天星智能包装有限公司建设项目竣工环境保护验收_10"/>
                    <pic:cNvPicPr>
                      <a:picLocks noChangeAspect="1"/>
                    </pic:cNvPicPr>
                  </pic:nvPicPr>
                  <pic:blipFill>
                    <a:blip r:embed="rId36"/>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2" name="图片 12" descr="QZYJC210420001贵阳天星智能包装有限公司建设项目竣工环境保护验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ZYJC210420001贵阳天星智能包装有限公司建设项目竣工环境保护验收_11"/>
                    <pic:cNvPicPr>
                      <a:picLocks noChangeAspect="1"/>
                    </pic:cNvPicPr>
                  </pic:nvPicPr>
                  <pic:blipFill>
                    <a:blip r:embed="rId37"/>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1" name="图片 11" descr="QZYJC210420001贵阳天星智能包装有限公司建设项目竣工环境保护验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ZYJC210420001贵阳天星智能包装有限公司建设项目竣工环境保护验收_12"/>
                    <pic:cNvPicPr>
                      <a:picLocks noChangeAspect="1"/>
                    </pic:cNvPicPr>
                  </pic:nvPicPr>
                  <pic:blipFill>
                    <a:blip r:embed="rId38"/>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10" name="图片 10" descr="QZYJC210420001贵阳天星智能包装有限公司建设项目竣工环境保护验收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ZYJC210420001贵阳天星智能包装有限公司建设项目竣工环境保护验收_13"/>
                    <pic:cNvPicPr>
                      <a:picLocks noChangeAspect="1"/>
                    </pic:cNvPicPr>
                  </pic:nvPicPr>
                  <pic:blipFill>
                    <a:blip r:embed="rId39"/>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9" name="图片 9" descr="QZYJC210420001贵阳天星智能包装有限公司建设项目竣工环境保护验收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ZYJC210420001贵阳天星智能包装有限公司建设项目竣工环境保护验收_14"/>
                    <pic:cNvPicPr>
                      <a:picLocks noChangeAspect="1"/>
                    </pic:cNvPicPr>
                  </pic:nvPicPr>
                  <pic:blipFill>
                    <a:blip r:embed="rId40"/>
                    <a:stretch>
                      <a:fillRect/>
                    </a:stretch>
                  </pic:blipFill>
                  <pic:spPr>
                    <a:xfrm>
                      <a:off x="0" y="0"/>
                      <a:ext cx="6197600" cy="8769350"/>
                    </a:xfrm>
                    <a:prstGeom prst="rect">
                      <a:avLst/>
                    </a:prstGeom>
                  </pic:spPr>
                </pic:pic>
              </a:graphicData>
            </a:graphic>
          </wp:inline>
        </w:drawing>
      </w:r>
      <w:r>
        <w:rPr>
          <w:rFonts w:hint="default"/>
          <w:sz w:val="24"/>
          <w:lang w:val="en-US" w:eastAsia="zh-CN"/>
        </w:rPr>
        <w:drawing>
          <wp:inline distT="0" distB="0" distL="114300" distR="114300">
            <wp:extent cx="6197600" cy="8769350"/>
            <wp:effectExtent l="0" t="0" r="0" b="6350"/>
            <wp:docPr id="8" name="图片 8" descr="QZYJC210420001贵阳天星智能包装有限公司建设项目竣工环境保护验收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ZYJC210420001贵阳天星智能包装有限公司建设项目竣工环境保护验收_15"/>
                    <pic:cNvPicPr>
                      <a:picLocks noChangeAspect="1"/>
                    </pic:cNvPicPr>
                  </pic:nvPicPr>
                  <pic:blipFill>
                    <a:blip r:embed="rId41"/>
                    <a:stretch>
                      <a:fillRect/>
                    </a:stretch>
                  </pic:blipFill>
                  <pic:spPr>
                    <a:xfrm>
                      <a:off x="0" y="0"/>
                      <a:ext cx="6197600" cy="8769350"/>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left"/>
        <w:rPr>
          <w:rFonts w:hint="default"/>
          <w:sz w:val="24"/>
          <w:lang w:val="en-US" w:eastAsia="zh-CN"/>
        </w:rPr>
        <w:sectPr>
          <w:footerReference r:id="rId12" w:type="default"/>
          <w:pgSz w:w="11910" w:h="16840"/>
          <w:pgMar w:top="1400" w:right="1060" w:bottom="760" w:left="1080" w:header="0" w:footer="570" w:gutter="0"/>
          <w:pgBorders>
            <w:top w:val="none" w:sz="0" w:space="0"/>
            <w:left w:val="none" w:sz="0" w:space="0"/>
            <w:bottom w:val="none" w:sz="0" w:space="0"/>
            <w:right w:val="none" w:sz="0" w:space="0"/>
          </w:pgBorders>
          <w:cols w:space="720" w:num="1"/>
        </w:sectPr>
      </w:pP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附件4</w:t>
      </w:r>
    </w:p>
    <w:p>
      <w:pPr>
        <w:pStyle w:val="14"/>
        <w:numPr>
          <w:ilvl w:val="0"/>
          <w:numId w:val="0"/>
        </w:numPr>
        <w:tabs>
          <w:tab w:val="left" w:pos="1301"/>
        </w:tabs>
        <w:spacing w:before="0" w:after="0" w:line="240" w:lineRule="auto"/>
        <w:ind w:right="0" w:rightChars="0"/>
        <w:jc w:val="center"/>
        <w:rPr>
          <w:rFonts w:hint="eastAsia"/>
          <w:b/>
          <w:bCs/>
          <w:sz w:val="24"/>
          <w:lang w:val="en-US" w:eastAsia="zh-CN"/>
        </w:rPr>
      </w:pPr>
      <w:r>
        <w:rPr>
          <w:rFonts w:hint="eastAsia"/>
          <w:b/>
          <w:bCs/>
          <w:sz w:val="24"/>
          <w:lang w:val="en-US" w:eastAsia="zh-CN"/>
        </w:rPr>
        <w:t>建设项目工程竣工环境保护“三同时”验收登记表</w:t>
      </w:r>
    </w:p>
    <w:p>
      <w:pPr>
        <w:pStyle w:val="14"/>
        <w:numPr>
          <w:ilvl w:val="0"/>
          <w:numId w:val="0"/>
        </w:numPr>
        <w:tabs>
          <w:tab w:val="left" w:pos="1301"/>
        </w:tabs>
        <w:spacing w:before="0" w:after="0" w:line="240" w:lineRule="auto"/>
        <w:ind w:right="0" w:rightChars="0"/>
        <w:jc w:val="both"/>
        <w:rPr>
          <w:rFonts w:hint="eastAsia"/>
          <w:sz w:val="24"/>
          <w:lang w:val="en-US" w:eastAsia="zh-CN"/>
        </w:rPr>
      </w:pPr>
      <w:r>
        <w:rPr>
          <w:rFonts w:hint="eastAsia"/>
          <w:b/>
          <w:bCs/>
          <w:sz w:val="24"/>
          <w:lang w:val="en-US" w:eastAsia="zh-CN"/>
        </w:rPr>
        <w:t xml:space="preserve">填表单位（盖章）：贵阳天星智能包装有限公司            填表人（签字）：                 项目经办人（签字）：     </w:t>
      </w:r>
      <w:r>
        <w:rPr>
          <w:rFonts w:hint="eastAsia"/>
          <w:sz w:val="24"/>
          <w:lang w:val="en-US" w:eastAsia="zh-CN"/>
        </w:rPr>
        <w:t xml:space="preserve">  </w:t>
      </w:r>
    </w:p>
    <w:tbl>
      <w:tblPr>
        <w:tblStyle w:val="11"/>
        <w:tblW w:w="48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67"/>
        <w:gridCol w:w="220"/>
        <w:gridCol w:w="247"/>
        <w:gridCol w:w="796"/>
        <w:gridCol w:w="37"/>
        <w:gridCol w:w="1059"/>
        <w:gridCol w:w="41"/>
        <w:gridCol w:w="1055"/>
        <w:gridCol w:w="137"/>
        <w:gridCol w:w="200"/>
        <w:gridCol w:w="759"/>
        <w:gridCol w:w="429"/>
        <w:gridCol w:w="667"/>
        <w:gridCol w:w="411"/>
        <w:gridCol w:w="630"/>
        <w:gridCol w:w="55"/>
        <w:gridCol w:w="262"/>
        <w:gridCol w:w="395"/>
        <w:gridCol w:w="439"/>
        <w:gridCol w:w="788"/>
        <w:gridCol w:w="308"/>
        <w:gridCol w:w="1014"/>
        <w:gridCol w:w="82"/>
        <w:gridCol w:w="956"/>
        <w:gridCol w:w="140"/>
        <w:gridCol w:w="417"/>
        <w:gridCol w:w="679"/>
        <w:gridCol w:w="152"/>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restart"/>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b/>
                <w:bCs/>
                <w:sz w:val="21"/>
                <w:szCs w:val="21"/>
                <w:vertAlign w:val="baseline"/>
                <w:lang w:val="en-US" w:eastAsia="zh-CN"/>
              </w:rPr>
              <w:t>建设项目</w:t>
            </w: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项目名称</w:t>
            </w:r>
          </w:p>
        </w:tc>
        <w:tc>
          <w:tcPr>
            <w:tcW w:w="789"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年印刷标签300万平方米项目</w:t>
            </w:r>
          </w:p>
        </w:tc>
        <w:tc>
          <w:tcPr>
            <w:tcW w:w="1066" w:type="pct"/>
            <w:gridSpan w:val="6"/>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项目代码</w:t>
            </w:r>
          </w:p>
        </w:tc>
        <w:tc>
          <w:tcPr>
            <w:tcW w:w="667"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812"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b/>
                <w:bCs/>
                <w:sz w:val="21"/>
                <w:szCs w:val="21"/>
                <w:vertAlign w:val="baseline"/>
                <w:lang w:val="en-US" w:eastAsia="zh-CN"/>
              </w:rPr>
              <w:t>项目地点</w:t>
            </w:r>
          </w:p>
        </w:tc>
        <w:tc>
          <w:tcPr>
            <w:tcW w:w="804" w:type="pct"/>
            <w:gridSpan w:val="5"/>
            <w:vAlign w:val="top"/>
          </w:tcPr>
          <w:p>
            <w:pPr>
              <w:pStyle w:val="15"/>
              <w:spacing w:before="81"/>
              <w:ind w:right="82"/>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pacing w:val="-4"/>
                <w:sz w:val="21"/>
                <w:szCs w:val="21"/>
              </w:rPr>
              <w:t xml:space="preserve">贵州双龙航空港经济区贵州宝信捷投资有限公司 </w:t>
            </w:r>
            <w:r>
              <w:rPr>
                <w:rFonts w:hint="default" w:ascii="Times New Roman" w:hAnsi="Times New Roman" w:eastAsia="Times New Roman" w:cs="Times New Roman"/>
                <w:sz w:val="21"/>
                <w:szCs w:val="21"/>
              </w:rPr>
              <w:t xml:space="preserve">4 </w:t>
            </w:r>
            <w:r>
              <w:rPr>
                <w:rFonts w:hint="default" w:ascii="Times New Roman" w:hAnsi="Times New Roman" w:cs="Times New Roman"/>
                <w:spacing w:val="-17"/>
                <w:sz w:val="21"/>
                <w:szCs w:val="21"/>
              </w:rPr>
              <w:t xml:space="preserve">号车间 </w:t>
            </w:r>
            <w:r>
              <w:rPr>
                <w:rFonts w:hint="default" w:ascii="Times New Roman" w:hAnsi="Times New Roman" w:eastAsia="Times New Roman" w:cs="Times New Roman"/>
                <w:sz w:val="21"/>
                <w:szCs w:val="21"/>
              </w:rPr>
              <w:t xml:space="preserve">3 </w:t>
            </w:r>
            <w:r>
              <w:rPr>
                <w:rFonts w:hint="default" w:ascii="Times New Roman" w:hAnsi="Times New Roman" w:cs="Times New Roman"/>
                <w:spacing w:val="-33"/>
                <w:sz w:val="21"/>
                <w:szCs w:val="21"/>
              </w:rPr>
              <w:t xml:space="preserve">层 </w:t>
            </w:r>
            <w:r>
              <w:rPr>
                <w:rFonts w:hint="default" w:ascii="Times New Roman" w:hAnsi="Times New Roman" w:eastAsia="Times New Roman" w:cs="Times New Roman"/>
                <w:sz w:val="21"/>
                <w:szCs w:val="21"/>
              </w:rPr>
              <w:t>1</w:t>
            </w:r>
            <w:r>
              <w:rPr>
                <w:rFonts w:hint="default" w:ascii="Times New Roman" w:hAnsi="Times New Roman" w:cs="Times New Roman"/>
                <w:sz w:val="21"/>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行业类别</w:t>
            </w:r>
          </w:p>
        </w:tc>
        <w:tc>
          <w:tcPr>
            <w:tcW w:w="789"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印刷业</w:t>
            </w:r>
          </w:p>
        </w:tc>
        <w:tc>
          <w:tcPr>
            <w:tcW w:w="1066" w:type="pct"/>
            <w:gridSpan w:val="6"/>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建设性质</w:t>
            </w:r>
          </w:p>
        </w:tc>
        <w:tc>
          <w:tcPr>
            <w:tcW w:w="2284" w:type="pct"/>
            <w:gridSpan w:val="1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设计生产能力</w:t>
            </w:r>
          </w:p>
        </w:tc>
        <w:tc>
          <w:tcPr>
            <w:tcW w:w="789"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300万平方米/a</w:t>
            </w:r>
          </w:p>
        </w:tc>
        <w:tc>
          <w:tcPr>
            <w:tcW w:w="1066" w:type="pct"/>
            <w:gridSpan w:val="6"/>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实际生产能力</w:t>
            </w:r>
          </w:p>
        </w:tc>
        <w:tc>
          <w:tcPr>
            <w:tcW w:w="667"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216万平方米/a</w:t>
            </w:r>
          </w:p>
        </w:tc>
        <w:tc>
          <w:tcPr>
            <w:tcW w:w="812"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环评单位</w:t>
            </w:r>
          </w:p>
        </w:tc>
        <w:tc>
          <w:tcPr>
            <w:tcW w:w="804"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pacing w:val="-5"/>
                <w:sz w:val="21"/>
                <w:szCs w:val="21"/>
              </w:rPr>
              <w:t>深圳市环新环保技术有限公司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环评文件审批机关</w:t>
            </w:r>
          </w:p>
        </w:tc>
        <w:tc>
          <w:tcPr>
            <w:tcW w:w="789"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贵州双龙航空港经济区生态建设管理局</w:t>
            </w:r>
          </w:p>
        </w:tc>
        <w:tc>
          <w:tcPr>
            <w:tcW w:w="1066" w:type="pct"/>
            <w:gridSpan w:val="6"/>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审批文号</w:t>
            </w:r>
          </w:p>
        </w:tc>
        <w:tc>
          <w:tcPr>
            <w:tcW w:w="667"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黔双龙建设发[2017]46号</w:t>
            </w:r>
          </w:p>
        </w:tc>
        <w:tc>
          <w:tcPr>
            <w:tcW w:w="812"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环评文件类型</w:t>
            </w:r>
          </w:p>
        </w:tc>
        <w:tc>
          <w:tcPr>
            <w:tcW w:w="804"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开工日期</w:t>
            </w:r>
          </w:p>
        </w:tc>
        <w:tc>
          <w:tcPr>
            <w:tcW w:w="789"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2017.12</w:t>
            </w:r>
          </w:p>
        </w:tc>
        <w:tc>
          <w:tcPr>
            <w:tcW w:w="1066" w:type="pct"/>
            <w:gridSpan w:val="6"/>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施工日期</w:t>
            </w:r>
          </w:p>
        </w:tc>
        <w:tc>
          <w:tcPr>
            <w:tcW w:w="667"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2017.10</w:t>
            </w:r>
          </w:p>
        </w:tc>
        <w:tc>
          <w:tcPr>
            <w:tcW w:w="812"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排污许可证申领时间</w:t>
            </w:r>
          </w:p>
        </w:tc>
        <w:tc>
          <w:tcPr>
            <w:tcW w:w="804"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环保设施设计单位</w:t>
            </w:r>
          </w:p>
        </w:tc>
        <w:tc>
          <w:tcPr>
            <w:tcW w:w="789" w:type="pct"/>
            <w:gridSpan w:val="4"/>
            <w:vAlign w:val="top"/>
          </w:tcPr>
          <w:p>
            <w:pPr>
              <w:pStyle w:val="15"/>
              <w:spacing w:line="269" w:lineRule="exact"/>
              <w:ind w:right="122"/>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rPr>
              <w:t>贵州宝信捷投资有限公司</w:t>
            </w:r>
          </w:p>
        </w:tc>
        <w:tc>
          <w:tcPr>
            <w:tcW w:w="1066" w:type="pct"/>
            <w:gridSpan w:val="6"/>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环保设施施工计单位</w:t>
            </w:r>
          </w:p>
        </w:tc>
        <w:tc>
          <w:tcPr>
            <w:tcW w:w="667"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rPr>
              <w:t>贵州宝信捷投资有限公司</w:t>
            </w:r>
          </w:p>
        </w:tc>
        <w:tc>
          <w:tcPr>
            <w:tcW w:w="812" w:type="pct"/>
            <w:gridSpan w:val="4"/>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本工程排污许可证编号</w:t>
            </w:r>
          </w:p>
        </w:tc>
        <w:tc>
          <w:tcPr>
            <w:tcW w:w="804" w:type="pct"/>
            <w:gridSpan w:val="5"/>
          </w:tcPr>
          <w:p>
            <w:pPr>
              <w:pStyle w:val="14"/>
              <w:numPr>
                <w:ilvl w:val="0"/>
                <w:numId w:val="0"/>
              </w:numPr>
              <w:tabs>
                <w:tab w:val="left" w:pos="1301"/>
              </w:tabs>
              <w:spacing w:before="0" w:after="0" w:line="240" w:lineRule="auto"/>
              <w:ind w:right="0" w:rightChars="0"/>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102220150010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验收单位</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贵州黔之意检测技术有限公司</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环保设施监测单位</w:t>
            </w:r>
          </w:p>
        </w:tc>
        <w:tc>
          <w:tcPr>
            <w:tcW w:w="667" w:type="pct"/>
            <w:gridSpan w:val="5"/>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贵州黔之意检测技术有限公司</w:t>
            </w:r>
          </w:p>
        </w:tc>
        <w:tc>
          <w:tcPr>
            <w:tcW w:w="812"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验收监测时工况</w:t>
            </w:r>
          </w:p>
        </w:tc>
        <w:tc>
          <w:tcPr>
            <w:tcW w:w="804" w:type="pct"/>
            <w:gridSpan w:val="5"/>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2021.12.06：76.6%</w:t>
            </w:r>
          </w:p>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2021.12.07：79.3%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投资总概算（万元）</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300</w:t>
            </w:r>
          </w:p>
        </w:tc>
        <w:tc>
          <w:tcPr>
            <w:tcW w:w="1066" w:type="pct"/>
            <w:gridSpan w:val="6"/>
          </w:tcPr>
          <w:p>
            <w:pPr>
              <w:pStyle w:val="14"/>
              <w:numPr>
                <w:ilvl w:val="0"/>
                <w:numId w:val="0"/>
              </w:numPr>
              <w:tabs>
                <w:tab w:val="left" w:pos="1301"/>
              </w:tabs>
              <w:spacing w:before="0" w:after="0" w:line="240" w:lineRule="auto"/>
              <w:ind w:right="0" w:rightChars="0"/>
              <w:jc w:val="both"/>
              <w:rPr>
                <w:rFonts w:hint="eastAsia"/>
                <w:b/>
                <w:bCs/>
                <w:sz w:val="21"/>
                <w:szCs w:val="21"/>
                <w:vertAlign w:val="baseline"/>
                <w:lang w:val="en-US" w:eastAsia="zh-CN"/>
              </w:rPr>
            </w:pPr>
            <w:r>
              <w:rPr>
                <w:rFonts w:hint="eastAsia"/>
                <w:b/>
                <w:bCs/>
                <w:sz w:val="21"/>
                <w:szCs w:val="21"/>
                <w:vertAlign w:val="baseline"/>
                <w:lang w:val="en-US" w:eastAsia="zh-CN"/>
              </w:rPr>
              <w:t>环保投资总概算（万元）</w:t>
            </w:r>
          </w:p>
        </w:tc>
        <w:tc>
          <w:tcPr>
            <w:tcW w:w="66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9</w:t>
            </w:r>
          </w:p>
        </w:tc>
        <w:tc>
          <w:tcPr>
            <w:tcW w:w="812"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所占比例（%）</w:t>
            </w:r>
          </w:p>
        </w:tc>
        <w:tc>
          <w:tcPr>
            <w:tcW w:w="804"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实际总投资（万元）</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300</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实际环保投资（万元）</w:t>
            </w:r>
          </w:p>
        </w:tc>
        <w:tc>
          <w:tcPr>
            <w:tcW w:w="66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9</w:t>
            </w:r>
          </w:p>
        </w:tc>
        <w:tc>
          <w:tcPr>
            <w:tcW w:w="812" w:type="pct"/>
            <w:gridSpan w:val="4"/>
          </w:tcPr>
          <w:p>
            <w:pPr>
              <w:pStyle w:val="14"/>
              <w:numPr>
                <w:ilvl w:val="0"/>
                <w:numId w:val="0"/>
              </w:numPr>
              <w:tabs>
                <w:tab w:val="left" w:pos="1301"/>
              </w:tabs>
              <w:spacing w:before="0" w:after="0" w:line="240" w:lineRule="auto"/>
              <w:ind w:right="0" w:rightChars="0"/>
              <w:jc w:val="both"/>
              <w:rPr>
                <w:rFonts w:hint="eastAsia"/>
                <w:b/>
                <w:bCs/>
                <w:sz w:val="21"/>
                <w:szCs w:val="21"/>
                <w:vertAlign w:val="baseline"/>
                <w:lang w:val="en-US" w:eastAsia="zh-CN"/>
              </w:rPr>
            </w:pPr>
            <w:r>
              <w:rPr>
                <w:rFonts w:hint="eastAsia"/>
                <w:b/>
                <w:bCs/>
                <w:sz w:val="21"/>
                <w:szCs w:val="21"/>
                <w:vertAlign w:val="baseline"/>
                <w:lang w:val="en-US" w:eastAsia="zh-CN"/>
              </w:rPr>
              <w:t>所占比例（%）</w:t>
            </w:r>
          </w:p>
        </w:tc>
        <w:tc>
          <w:tcPr>
            <w:tcW w:w="804"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05"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废水治理（万元）</w:t>
            </w:r>
          </w:p>
        </w:tc>
        <w:tc>
          <w:tcPr>
            <w:tcW w:w="371"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废气治理（万元）</w:t>
            </w:r>
          </w:p>
        </w:tc>
        <w:tc>
          <w:tcPr>
            <w:tcW w:w="479"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5.5</w:t>
            </w:r>
          </w:p>
        </w:tc>
        <w:tc>
          <w:tcPr>
            <w:tcW w:w="409"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噪声治理（万元）</w:t>
            </w:r>
          </w:p>
        </w:tc>
        <w:tc>
          <w:tcPr>
            <w:tcW w:w="371"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0.2</w:t>
            </w:r>
          </w:p>
        </w:tc>
        <w:tc>
          <w:tcPr>
            <w:tcW w:w="462" w:type="pct"/>
            <w:gridSpan w:val="4"/>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固体废物治理（万元）</w:t>
            </w:r>
          </w:p>
        </w:tc>
        <w:tc>
          <w:tcPr>
            <w:tcW w:w="422"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2.8</w:t>
            </w:r>
          </w:p>
        </w:tc>
        <w:tc>
          <w:tcPr>
            <w:tcW w:w="455"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绿化及生态（万元）</w:t>
            </w:r>
          </w:p>
        </w:tc>
        <w:tc>
          <w:tcPr>
            <w:tcW w:w="357"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477"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其他（万元）</w:t>
            </w:r>
          </w:p>
        </w:tc>
        <w:tc>
          <w:tcPr>
            <w:tcW w:w="326" w:type="pc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新增废水处理设施能力</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1175" w:type="pct"/>
            <w:gridSpan w:val="8"/>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新增废气处理设施能力</w:t>
            </w:r>
          </w:p>
        </w:tc>
        <w:tc>
          <w:tcPr>
            <w:tcW w:w="1013"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54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年平均工作时</w:t>
            </w:r>
          </w:p>
        </w:tc>
        <w:tc>
          <w:tcPr>
            <w:tcW w:w="612"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270天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gridSpan w:val="6"/>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运营单位</w:t>
            </w:r>
          </w:p>
        </w:tc>
        <w:tc>
          <w:tcPr>
            <w:tcW w:w="789" w:type="pct"/>
            <w:gridSpan w:val="4"/>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default" w:ascii="Times New Roman" w:hAnsi="Times New Roman" w:cs="Times New Roman"/>
                <w:sz w:val="21"/>
              </w:rPr>
              <w:t>贵州宝信捷投资有限公司</w:t>
            </w:r>
          </w:p>
        </w:tc>
        <w:tc>
          <w:tcPr>
            <w:tcW w:w="1175" w:type="pct"/>
            <w:gridSpan w:val="8"/>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运营单位社会统一信用代码</w:t>
            </w:r>
          </w:p>
        </w:tc>
        <w:tc>
          <w:tcPr>
            <w:tcW w:w="1013" w:type="pct"/>
            <w:gridSpan w:val="5"/>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91520102556608812M</w:t>
            </w:r>
          </w:p>
        </w:tc>
        <w:tc>
          <w:tcPr>
            <w:tcW w:w="54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验收时间</w:t>
            </w:r>
          </w:p>
        </w:tc>
        <w:tc>
          <w:tcPr>
            <w:tcW w:w="612"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2021.12.06-2021.12.07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restar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污染物排放达标与总量控制（工业建设项目详填）</w:t>
            </w:r>
          </w:p>
        </w:tc>
        <w:tc>
          <w:tcPr>
            <w:tcW w:w="390"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污染物</w:t>
            </w:r>
          </w:p>
        </w:tc>
        <w:tc>
          <w:tcPr>
            <w:tcW w:w="274" w:type="pct"/>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原有排放量（1）</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本期工程实际排放浓度（2）</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本期工程允许排放浓度（3）</w:t>
            </w:r>
          </w:p>
        </w:tc>
        <w:tc>
          <w:tcPr>
            <w:tcW w:w="377"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本期工程产生量（4）</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本期工程自生消减量（5）</w:t>
            </w:r>
          </w:p>
        </w:tc>
        <w:tc>
          <w:tcPr>
            <w:tcW w:w="377"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本期工程实际排放量（6）</w:t>
            </w:r>
          </w:p>
        </w:tc>
        <w:tc>
          <w:tcPr>
            <w:tcW w:w="377"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本期工程核定排放总量（7）</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本期工程“以老带新”消减量（8）</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全厂实际排放总量（9）</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全厂核定排放总量（10）</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区域平衡替代消减量（11）</w:t>
            </w:r>
          </w:p>
        </w:tc>
        <w:tc>
          <w:tcPr>
            <w:tcW w:w="378" w:type="pct"/>
            <w:gridSpan w:val="2"/>
            <w:vAlign w:val="center"/>
          </w:tcPr>
          <w:p>
            <w:pPr>
              <w:pStyle w:val="14"/>
              <w:numPr>
                <w:ilvl w:val="0"/>
                <w:numId w:val="0"/>
              </w:numPr>
              <w:tabs>
                <w:tab w:val="left" w:pos="1301"/>
              </w:tabs>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废水</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化学需氧量</w:t>
            </w:r>
          </w:p>
        </w:tc>
        <w:tc>
          <w:tcPr>
            <w:tcW w:w="274" w:type="pc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氨氮</w:t>
            </w:r>
          </w:p>
        </w:tc>
        <w:tc>
          <w:tcPr>
            <w:tcW w:w="274" w:type="pc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石油类</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废气</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二氧化硫</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烟尘</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工业粉尘</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氮氧化物</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工业固体废物</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229" w:type="pc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项目相关的其他污染物</w:t>
            </w:r>
          </w:p>
        </w:tc>
        <w:tc>
          <w:tcPr>
            <w:tcW w:w="160"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非甲烷总烃</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bl>
    <w:p>
      <w:pPr>
        <w:pStyle w:val="14"/>
        <w:numPr>
          <w:ilvl w:val="0"/>
          <w:numId w:val="0"/>
        </w:numPr>
        <w:tabs>
          <w:tab w:val="left" w:pos="1301"/>
        </w:tabs>
        <w:spacing w:before="0" w:after="0" w:line="240" w:lineRule="auto"/>
        <w:ind w:right="0" w:rightChars="0"/>
        <w:jc w:val="both"/>
        <w:rPr>
          <w:rFonts w:hint="eastAsia" w:cs="宋体"/>
          <w:sz w:val="21"/>
          <w:szCs w:val="21"/>
          <w:lang w:eastAsia="zh-CN"/>
        </w:rPr>
      </w:pPr>
      <w:r>
        <w:rPr>
          <w:rFonts w:hint="eastAsia"/>
          <w:sz w:val="24"/>
          <w:lang w:val="en-US" w:eastAsia="zh-CN"/>
        </w:rPr>
        <w:t xml:space="preserve">   </w:t>
      </w:r>
      <w:r>
        <w:rPr>
          <w:rFonts w:hint="eastAsia"/>
          <w:b/>
          <w:bCs/>
          <w:sz w:val="21"/>
          <w:szCs w:val="21"/>
          <w:lang w:val="en-US" w:eastAsia="zh-CN"/>
        </w:rPr>
        <w:t>注：</w:t>
      </w:r>
      <w:r>
        <w:rPr>
          <w:rFonts w:hint="eastAsia"/>
          <w:b w:val="0"/>
          <w:bCs w:val="0"/>
          <w:sz w:val="21"/>
          <w:szCs w:val="21"/>
          <w:lang w:val="en-US" w:eastAsia="zh-CN"/>
        </w:rPr>
        <w:t>1、排放增减量：（+）表示增加，（—）表示减少。2、（12）=（6）-（8）-（11）</w:t>
      </w:r>
      <w:r>
        <w:rPr>
          <w:rFonts w:ascii="宋体" w:hAnsi="宋体" w:eastAsia="宋体" w:cs="宋体"/>
          <w:sz w:val="21"/>
          <w:szCs w:val="21"/>
        </w:rPr>
        <w:t>+（1）。3、计量单位：废水排放量——万吨/年；废气排放量——万标立方米/年；工业固体废物排放量——万吨/年；水污染物排放浓度——毫克/升；大气污染物排放浓度——毫克/立方米；水污染物排放量——吨/年；大气污染物排放量——吨/年</w:t>
      </w:r>
      <w:r>
        <w:rPr>
          <w:rFonts w:hint="eastAsia" w:cs="宋体"/>
          <w:sz w:val="21"/>
          <w:szCs w:val="21"/>
          <w:lang w:eastAsia="zh-CN"/>
        </w:rPr>
        <w:t>；</w:t>
      </w: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pPr>
      <w:r>
        <w:rPr>
          <w:rFonts w:hint="eastAsia" w:cs="宋体"/>
          <w:sz w:val="21"/>
          <w:szCs w:val="21"/>
          <w:lang w:val="en-US" w:eastAsia="zh-CN"/>
        </w:rPr>
        <w:t>附图1</w:t>
      </w:r>
      <w:r>
        <w:pict>
          <v:group id="_x0000_s1186" o:spid="_x0000_s1186" o:spt="203" style="position:absolute;left:0pt;margin-left:73.7pt;margin-top:93.55pt;height:382.8pt;width:697.8pt;mso-position-horizontal-relative:page;mso-position-vertical-relative:page;z-index:-251636736;mso-width-relative:page;mso-height-relative:page;" coordorigin="1440,1872" coordsize="13956,7656">
            <o:lock v:ext="edit"/>
            <v:shape id="_x0000_s1187" o:spid="_x0000_s1187" o:spt="75" type="#_x0000_t75" style="position:absolute;left:1440;top:1872;height:7656;width:13956;" filled="f" stroked="f" coordsize="21600,21600">
              <v:path/>
              <v:fill on="f" focussize="0,0"/>
              <v:stroke on="f"/>
              <v:imagedata r:id="rId42" o:title=""/>
              <o:lock v:ext="edit" aspectratio="t"/>
            </v:shape>
            <v:shape id="_x0000_s1188" o:spid="_x0000_s1188" o:spt="75" type="#_x0000_t75" style="position:absolute;left:14013;top:1891;height:1680;width:1366;" filled="f" stroked="f" coordsize="21600,21600">
              <v:path/>
              <v:fill on="f" focussize="0,0"/>
              <v:stroke on="f"/>
              <v:imagedata r:id="rId43" o:title=""/>
              <o:lock v:ext="edit" aspectratio="t"/>
            </v:shape>
          </v:group>
        </w:pic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right"/>
        <w:rPr>
          <w:rFonts w:hint="default"/>
          <w:lang w:val="en-US" w:eastAsia="zh-CN"/>
        </w:rPr>
      </w:pPr>
    </w:p>
    <w:p>
      <w:pPr>
        <w:bidi w:val="0"/>
        <w:jc w:val="right"/>
        <w:rPr>
          <w:rFonts w:hint="default"/>
          <w:lang w:val="en-US" w:eastAsia="zh-CN"/>
        </w:rPr>
      </w:pPr>
    </w:p>
    <w:p>
      <w:pPr>
        <w:bidi w:val="0"/>
        <w:jc w:val="left"/>
        <w:rPr>
          <w:rFonts w:hint="eastAsia"/>
          <w:lang w:val="en-US" w:eastAsia="zh-CN"/>
        </w:rPr>
      </w:pPr>
      <w:r>
        <w:rPr>
          <w:rFonts w:hint="eastAsia"/>
          <w:lang w:val="en-US" w:eastAsia="zh-CN"/>
        </w:rPr>
        <w:t>附图2</w:t>
      </w:r>
    </w:p>
    <w:p>
      <w:pPr>
        <w:bidi w:val="0"/>
        <w:jc w:val="center"/>
        <w:rPr>
          <w:sz w:val="20"/>
        </w:rPr>
      </w:pPr>
      <w:r>
        <w:rPr>
          <w:sz w:val="20"/>
        </w:rPr>
        <w:drawing>
          <wp:inline distT="0" distB="0" distL="0" distR="0">
            <wp:extent cx="9022080" cy="6010275"/>
            <wp:effectExtent l="0" t="0" r="7620" b="9525"/>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0.jpeg"/>
                    <pic:cNvPicPr>
                      <a:picLocks noChangeAspect="1"/>
                    </pic:cNvPicPr>
                  </pic:nvPicPr>
                  <pic:blipFill>
                    <a:blip r:embed="rId44" cstate="print"/>
                    <a:stretch>
                      <a:fillRect/>
                    </a:stretch>
                  </pic:blipFill>
                  <pic:spPr>
                    <a:xfrm>
                      <a:off x="0" y="0"/>
                      <a:ext cx="9022080" cy="6010275"/>
                    </a:xfrm>
                    <a:prstGeom prst="rect">
                      <a:avLst/>
                    </a:prstGeom>
                  </pic:spPr>
                </pic:pic>
              </a:graphicData>
            </a:graphic>
          </wp:inline>
        </w:drawing>
      </w:r>
    </w:p>
    <w:p>
      <w:pPr>
        <w:bidi w:val="0"/>
        <w:jc w:val="both"/>
        <w:rPr>
          <w:rFonts w:hint="eastAsia"/>
          <w:sz w:val="20"/>
          <w:lang w:val="en-US" w:eastAsia="zh-CN"/>
        </w:rPr>
      </w:pPr>
      <w:r>
        <w:rPr>
          <w:rFonts w:hint="eastAsia"/>
          <w:sz w:val="20"/>
          <w:lang w:val="en-US" w:eastAsia="zh-CN"/>
        </w:rPr>
        <w:t>附图3</w:t>
      </w:r>
    </w:p>
    <w:p>
      <w:pPr>
        <w:bidi w:val="0"/>
        <w:jc w:val="both"/>
        <w:rPr>
          <w:rFonts w:hint="default"/>
          <w:sz w:val="20"/>
          <w:lang w:val="en-US" w:eastAsia="zh-CN"/>
        </w:rPr>
      </w:pPr>
      <w:r>
        <w:pict>
          <v:group id="_x0000_s1189" o:spid="_x0000_s1189" o:spt="203" style="position:absolute;left:0pt;margin-left:53.05pt;margin-top:118.35pt;height:340.45pt;width:696.7pt;mso-position-horizontal-relative:page;mso-position-vertical-relative:page;z-index:-251635712;mso-width-relative:page;mso-height-relative:page;" coordorigin="1445,2450" coordsize="13934,6809">
            <o:lock v:ext="edit"/>
            <v:shape id="_x0000_s1190" o:spid="_x0000_s1190" o:spt="75" type="#_x0000_t75" style="position:absolute;left:1444;top:2450;height:6809;width:13934;" filled="f" stroked="f" coordsize="21600,21600">
              <v:path/>
              <v:fill on="f" focussize="0,0"/>
              <v:stroke on="f"/>
              <v:imagedata r:id="rId45" o:title=""/>
              <o:lock v:ext="edit" aspectratio="t"/>
            </v:shape>
            <v:shape id="_x0000_s1191" o:spid="_x0000_s1191" o:spt="75" type="#_x0000_t75" style="position:absolute;left:12158;top:2954;height:1680;width:1366;" filled="f" stroked="f" coordsize="21600,21600">
              <v:path/>
              <v:fill on="f" focussize="0,0"/>
              <v:stroke on="f"/>
              <v:imagedata r:id="rId43" o:title=""/>
              <o:lock v:ext="edit" aspectratio="t"/>
            </v:shape>
          </v:group>
        </w:pict>
      </w:r>
    </w:p>
    <w:sectPr>
      <w:pgSz w:w="16840" w:h="11910" w:orient="landscape"/>
      <w:pgMar w:top="1080" w:right="1400" w:bottom="1060" w:left="760" w:header="0" w:footer="57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0" o:spid="_x0000_s2050" o:spt="202" type="#_x0000_t202" style="position:absolute;left:0pt;margin-left:290.85pt;margin-top:781.2pt;height:12pt;width:13.5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hint="eastAsia"/>
                    <w:lang w:val="en-US" w:eastAsia="zh-CN"/>
                  </w:rPr>
                </w:pPr>
                <w:r>
                  <w:rPr>
                    <w:rFonts w:hint="eastAsia"/>
                    <w:lang w:val="en-US" w:eastAsia="zh-CN"/>
                  </w:rPr>
                  <w:t>Ⅰ</w:t>
                </w:r>
              </w:p>
              <w:p>
                <w:pPr>
                  <w:spacing w:before="12"/>
                  <w:ind w:left="40" w:right="0" w:firstLine="0"/>
                  <w:jc w:val="left"/>
                  <w:rPr>
                    <w:rFonts w:hint="eastAsia"/>
                    <w:lang w:val="en-US" w:eastAsia="zh-CN"/>
                  </w:rPr>
                </w:pPr>
              </w:p>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IV</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95.6pt;margin-top:781.2pt;height:12pt;width:8.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2" o:spid="_x0000_s2052" o:spt="202" type="#_x0000_t202" style="position:absolute;left:0pt;margin-left:293.3pt;margin-top:781.2pt;height:12pt;width:13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9" o:spid="_x0000_s2059" o:spt="202" type="#_x0000_t202" style="position:absolute;left:0pt;margin-left:293.3pt;margin-top:781.2pt;height:12pt;width:13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o:spt="202" type="#_x0000_t202" style="position:absolute;left:0pt;margin-left:416.75pt;margin-top:534.55pt;height:12pt;width:13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5" o:spid="_x0000_s2055" o:spt="202" type="#_x0000_t202" style="position:absolute;left:0pt;margin-left:293.3pt;margin-top:781.2pt;height:12pt;width:1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6" o:spid="_x0000_s2056" o:spt="202" type="#_x0000_t202" style="position:absolute;left:0pt;margin-left:293.3pt;margin-top:802.45pt;height:12pt;width:1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27</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15F4F"/>
    <w:multiLevelType w:val="multilevel"/>
    <w:tmpl w:val="C0915F4F"/>
    <w:lvl w:ilvl="0" w:tentative="0">
      <w:start w:val="1"/>
      <w:numFmt w:val="decimal"/>
      <w:lvlText w:val="（%1）"/>
      <w:lvlJc w:val="left"/>
      <w:pPr>
        <w:ind w:left="13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92" w:hanging="601"/>
      </w:pPr>
      <w:rPr>
        <w:rFonts w:hint="default"/>
        <w:lang w:val="zh-CN" w:eastAsia="zh-CN" w:bidi="zh-CN"/>
      </w:rPr>
    </w:lvl>
    <w:lvl w:ilvl="3" w:tentative="0">
      <w:start w:val="0"/>
      <w:numFmt w:val="bullet"/>
      <w:lvlText w:val="•"/>
      <w:lvlJc w:val="left"/>
      <w:pPr>
        <w:ind w:left="3839" w:hanging="601"/>
      </w:pPr>
      <w:rPr>
        <w:rFonts w:hint="default"/>
        <w:lang w:val="zh-CN" w:eastAsia="zh-CN" w:bidi="zh-CN"/>
      </w:rPr>
    </w:lvl>
    <w:lvl w:ilvl="4" w:tentative="0">
      <w:start w:val="0"/>
      <w:numFmt w:val="bullet"/>
      <w:lvlText w:val="•"/>
      <w:lvlJc w:val="left"/>
      <w:pPr>
        <w:ind w:left="4685" w:hanging="601"/>
      </w:pPr>
      <w:rPr>
        <w:rFonts w:hint="default"/>
        <w:lang w:val="zh-CN" w:eastAsia="zh-CN" w:bidi="zh-CN"/>
      </w:rPr>
    </w:lvl>
    <w:lvl w:ilvl="5" w:tentative="0">
      <w:start w:val="0"/>
      <w:numFmt w:val="bullet"/>
      <w:lvlText w:val="•"/>
      <w:lvlJc w:val="left"/>
      <w:pPr>
        <w:ind w:left="5532" w:hanging="601"/>
      </w:pPr>
      <w:rPr>
        <w:rFonts w:hint="default"/>
        <w:lang w:val="zh-CN" w:eastAsia="zh-CN" w:bidi="zh-CN"/>
      </w:rPr>
    </w:lvl>
    <w:lvl w:ilvl="6" w:tentative="0">
      <w:start w:val="0"/>
      <w:numFmt w:val="bullet"/>
      <w:lvlText w:val="•"/>
      <w:lvlJc w:val="left"/>
      <w:pPr>
        <w:ind w:left="6378" w:hanging="601"/>
      </w:pPr>
      <w:rPr>
        <w:rFonts w:hint="default"/>
        <w:lang w:val="zh-CN" w:eastAsia="zh-CN" w:bidi="zh-CN"/>
      </w:rPr>
    </w:lvl>
    <w:lvl w:ilvl="7" w:tentative="0">
      <w:start w:val="0"/>
      <w:numFmt w:val="bullet"/>
      <w:lvlText w:val="•"/>
      <w:lvlJc w:val="left"/>
      <w:pPr>
        <w:ind w:left="7225" w:hanging="601"/>
      </w:pPr>
      <w:rPr>
        <w:rFonts w:hint="default"/>
        <w:lang w:val="zh-CN" w:eastAsia="zh-CN" w:bidi="zh-CN"/>
      </w:rPr>
    </w:lvl>
    <w:lvl w:ilvl="8" w:tentative="0">
      <w:start w:val="0"/>
      <w:numFmt w:val="bullet"/>
      <w:lvlText w:val="•"/>
      <w:lvlJc w:val="left"/>
      <w:pPr>
        <w:ind w:left="8071" w:hanging="601"/>
      </w:pPr>
      <w:rPr>
        <w:rFonts w:hint="default"/>
        <w:lang w:val="zh-CN" w:eastAsia="zh-CN" w:bidi="zh-CN"/>
      </w:rPr>
    </w:lvl>
  </w:abstractNum>
  <w:abstractNum w:abstractNumId="1">
    <w:nsid w:val="03A63A41"/>
    <w:multiLevelType w:val="multilevel"/>
    <w:tmpl w:val="03A63A41"/>
    <w:lvl w:ilvl="0" w:tentative="0">
      <w:start w:val="1"/>
      <w:numFmt w:val="decimal"/>
      <w:lvlText w:val="（%1）"/>
      <w:lvlJc w:val="left"/>
      <w:pPr>
        <w:ind w:left="1306" w:hanging="602"/>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2146" w:hanging="602"/>
      </w:pPr>
      <w:rPr>
        <w:rFonts w:hint="default"/>
        <w:lang w:val="zh-CN" w:eastAsia="zh-CN" w:bidi="zh-CN"/>
      </w:rPr>
    </w:lvl>
    <w:lvl w:ilvl="2" w:tentative="0">
      <w:start w:val="0"/>
      <w:numFmt w:val="bullet"/>
      <w:lvlText w:val="•"/>
      <w:lvlJc w:val="left"/>
      <w:pPr>
        <w:ind w:left="2992" w:hanging="602"/>
      </w:pPr>
      <w:rPr>
        <w:rFonts w:hint="default"/>
        <w:lang w:val="zh-CN" w:eastAsia="zh-CN" w:bidi="zh-CN"/>
      </w:rPr>
    </w:lvl>
    <w:lvl w:ilvl="3" w:tentative="0">
      <w:start w:val="0"/>
      <w:numFmt w:val="bullet"/>
      <w:lvlText w:val="•"/>
      <w:lvlJc w:val="left"/>
      <w:pPr>
        <w:ind w:left="3839" w:hanging="602"/>
      </w:pPr>
      <w:rPr>
        <w:rFonts w:hint="default"/>
        <w:lang w:val="zh-CN" w:eastAsia="zh-CN" w:bidi="zh-CN"/>
      </w:rPr>
    </w:lvl>
    <w:lvl w:ilvl="4" w:tentative="0">
      <w:start w:val="0"/>
      <w:numFmt w:val="bullet"/>
      <w:lvlText w:val="•"/>
      <w:lvlJc w:val="left"/>
      <w:pPr>
        <w:ind w:left="4685" w:hanging="602"/>
      </w:pPr>
      <w:rPr>
        <w:rFonts w:hint="default"/>
        <w:lang w:val="zh-CN" w:eastAsia="zh-CN" w:bidi="zh-CN"/>
      </w:rPr>
    </w:lvl>
    <w:lvl w:ilvl="5" w:tentative="0">
      <w:start w:val="0"/>
      <w:numFmt w:val="bullet"/>
      <w:lvlText w:val="•"/>
      <w:lvlJc w:val="left"/>
      <w:pPr>
        <w:ind w:left="5532" w:hanging="602"/>
      </w:pPr>
      <w:rPr>
        <w:rFonts w:hint="default"/>
        <w:lang w:val="zh-CN" w:eastAsia="zh-CN" w:bidi="zh-CN"/>
      </w:rPr>
    </w:lvl>
    <w:lvl w:ilvl="6" w:tentative="0">
      <w:start w:val="0"/>
      <w:numFmt w:val="bullet"/>
      <w:lvlText w:val="•"/>
      <w:lvlJc w:val="left"/>
      <w:pPr>
        <w:ind w:left="6378" w:hanging="602"/>
      </w:pPr>
      <w:rPr>
        <w:rFonts w:hint="default"/>
        <w:lang w:val="zh-CN" w:eastAsia="zh-CN" w:bidi="zh-CN"/>
      </w:rPr>
    </w:lvl>
    <w:lvl w:ilvl="7" w:tentative="0">
      <w:start w:val="0"/>
      <w:numFmt w:val="bullet"/>
      <w:lvlText w:val="•"/>
      <w:lvlJc w:val="left"/>
      <w:pPr>
        <w:ind w:left="7225" w:hanging="602"/>
      </w:pPr>
      <w:rPr>
        <w:rFonts w:hint="default"/>
        <w:lang w:val="zh-CN" w:eastAsia="zh-CN" w:bidi="zh-CN"/>
      </w:rPr>
    </w:lvl>
    <w:lvl w:ilvl="8" w:tentative="0">
      <w:start w:val="0"/>
      <w:numFmt w:val="bullet"/>
      <w:lvlText w:val="•"/>
      <w:lvlJc w:val="left"/>
      <w:pPr>
        <w:ind w:left="8071" w:hanging="602"/>
      </w:pPr>
      <w:rPr>
        <w:rFonts w:hint="default"/>
        <w:lang w:val="zh-CN" w:eastAsia="zh-CN" w:bidi="zh-CN"/>
      </w:rPr>
    </w:lvl>
  </w:abstractNum>
  <w:abstractNum w:abstractNumId="2">
    <w:nsid w:val="0F9F9CCA"/>
    <w:multiLevelType w:val="multilevel"/>
    <w:tmpl w:val="0F9F9CCA"/>
    <w:lvl w:ilvl="0" w:tentative="0">
      <w:start w:val="1"/>
      <w:numFmt w:val="decimal"/>
      <w:lvlText w:val="%1）"/>
      <w:lvlJc w:val="left"/>
      <w:pPr>
        <w:ind w:left="943" w:hanging="361"/>
        <w:jc w:val="left"/>
      </w:pPr>
      <w:rPr>
        <w:rFonts w:hint="default" w:ascii="Times New Roman" w:hAnsi="Times New Roman" w:eastAsia="Times New Roman" w:cs="Times New Roman"/>
        <w:w w:val="100"/>
        <w:sz w:val="22"/>
        <w:szCs w:val="22"/>
        <w:lang w:val="zh-CN" w:eastAsia="zh-CN" w:bidi="zh-CN"/>
      </w:rPr>
    </w:lvl>
    <w:lvl w:ilvl="1" w:tentative="0">
      <w:start w:val="1"/>
      <w:numFmt w:val="decimal"/>
      <w:lvlText w:val="（%2）"/>
      <w:lvlJc w:val="left"/>
      <w:pPr>
        <w:ind w:left="1315"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49" w:hanging="601"/>
      </w:pPr>
      <w:rPr>
        <w:rFonts w:hint="default"/>
        <w:lang w:val="zh-CN" w:eastAsia="zh-CN" w:bidi="zh-CN"/>
      </w:rPr>
    </w:lvl>
    <w:lvl w:ilvl="3" w:tentative="0">
      <w:start w:val="0"/>
      <w:numFmt w:val="bullet"/>
      <w:lvlText w:val="•"/>
      <w:lvlJc w:val="left"/>
      <w:pPr>
        <w:ind w:left="3178" w:hanging="601"/>
      </w:pPr>
      <w:rPr>
        <w:rFonts w:hint="default"/>
        <w:lang w:val="zh-CN" w:eastAsia="zh-CN" w:bidi="zh-CN"/>
      </w:rPr>
    </w:lvl>
    <w:lvl w:ilvl="4" w:tentative="0">
      <w:start w:val="0"/>
      <w:numFmt w:val="bullet"/>
      <w:lvlText w:val="•"/>
      <w:lvlJc w:val="left"/>
      <w:pPr>
        <w:ind w:left="4108" w:hanging="601"/>
      </w:pPr>
      <w:rPr>
        <w:rFonts w:hint="default"/>
        <w:lang w:val="zh-CN" w:eastAsia="zh-CN" w:bidi="zh-CN"/>
      </w:rPr>
    </w:lvl>
    <w:lvl w:ilvl="5" w:tentative="0">
      <w:start w:val="0"/>
      <w:numFmt w:val="bullet"/>
      <w:lvlText w:val="•"/>
      <w:lvlJc w:val="left"/>
      <w:pPr>
        <w:ind w:left="5037" w:hanging="601"/>
      </w:pPr>
      <w:rPr>
        <w:rFonts w:hint="default"/>
        <w:lang w:val="zh-CN" w:eastAsia="zh-CN" w:bidi="zh-CN"/>
      </w:rPr>
    </w:lvl>
    <w:lvl w:ilvl="6" w:tentative="0">
      <w:start w:val="0"/>
      <w:numFmt w:val="bullet"/>
      <w:lvlText w:val="•"/>
      <w:lvlJc w:val="left"/>
      <w:pPr>
        <w:ind w:left="5966" w:hanging="601"/>
      </w:pPr>
      <w:rPr>
        <w:rFonts w:hint="default"/>
        <w:lang w:val="zh-CN" w:eastAsia="zh-CN" w:bidi="zh-CN"/>
      </w:rPr>
    </w:lvl>
    <w:lvl w:ilvl="7" w:tentative="0">
      <w:start w:val="0"/>
      <w:numFmt w:val="bullet"/>
      <w:lvlText w:val="•"/>
      <w:lvlJc w:val="left"/>
      <w:pPr>
        <w:ind w:left="6896" w:hanging="601"/>
      </w:pPr>
      <w:rPr>
        <w:rFonts w:hint="default"/>
        <w:lang w:val="zh-CN" w:eastAsia="zh-CN" w:bidi="zh-CN"/>
      </w:rPr>
    </w:lvl>
    <w:lvl w:ilvl="8" w:tentative="0">
      <w:start w:val="0"/>
      <w:numFmt w:val="bullet"/>
      <w:lvlText w:val="•"/>
      <w:lvlJc w:val="left"/>
      <w:pPr>
        <w:ind w:left="7825" w:hanging="601"/>
      </w:pPr>
      <w:rPr>
        <w:rFonts w:hint="default"/>
        <w:lang w:val="zh-CN" w:eastAsia="zh-CN" w:bidi="zh-CN"/>
      </w:rPr>
    </w:lvl>
  </w:abstractNum>
  <w:abstractNum w:abstractNumId="3">
    <w:nsid w:val="23E97754"/>
    <w:multiLevelType w:val="multilevel"/>
    <w:tmpl w:val="23E97754"/>
    <w:lvl w:ilvl="0" w:tentative="0">
      <w:start w:val="1"/>
      <w:numFmt w:val="decimal"/>
      <w:lvlText w:val="（%1）"/>
      <w:lvlJc w:val="left"/>
      <w:pPr>
        <w:ind w:left="1187" w:hanging="601"/>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2012" w:hanging="601"/>
      </w:pPr>
      <w:rPr>
        <w:rFonts w:hint="default"/>
        <w:lang w:val="zh-CN" w:eastAsia="zh-CN" w:bidi="zh-CN"/>
      </w:rPr>
    </w:lvl>
    <w:lvl w:ilvl="2" w:tentative="0">
      <w:start w:val="0"/>
      <w:numFmt w:val="bullet"/>
      <w:lvlText w:val="•"/>
      <w:lvlJc w:val="left"/>
      <w:pPr>
        <w:ind w:left="2845" w:hanging="601"/>
      </w:pPr>
      <w:rPr>
        <w:rFonts w:hint="default"/>
        <w:lang w:val="zh-CN" w:eastAsia="zh-CN" w:bidi="zh-CN"/>
      </w:rPr>
    </w:lvl>
    <w:lvl w:ilvl="3" w:tentative="0">
      <w:start w:val="0"/>
      <w:numFmt w:val="bullet"/>
      <w:lvlText w:val="•"/>
      <w:lvlJc w:val="left"/>
      <w:pPr>
        <w:ind w:left="3678" w:hanging="601"/>
      </w:pPr>
      <w:rPr>
        <w:rFonts w:hint="default"/>
        <w:lang w:val="zh-CN" w:eastAsia="zh-CN" w:bidi="zh-CN"/>
      </w:rPr>
    </w:lvl>
    <w:lvl w:ilvl="4" w:tentative="0">
      <w:start w:val="0"/>
      <w:numFmt w:val="bullet"/>
      <w:lvlText w:val="•"/>
      <w:lvlJc w:val="left"/>
      <w:pPr>
        <w:ind w:left="4510" w:hanging="601"/>
      </w:pPr>
      <w:rPr>
        <w:rFonts w:hint="default"/>
        <w:lang w:val="zh-CN" w:eastAsia="zh-CN" w:bidi="zh-CN"/>
      </w:rPr>
    </w:lvl>
    <w:lvl w:ilvl="5" w:tentative="0">
      <w:start w:val="0"/>
      <w:numFmt w:val="bullet"/>
      <w:lvlText w:val="•"/>
      <w:lvlJc w:val="left"/>
      <w:pPr>
        <w:ind w:left="5343" w:hanging="601"/>
      </w:pPr>
      <w:rPr>
        <w:rFonts w:hint="default"/>
        <w:lang w:val="zh-CN" w:eastAsia="zh-CN" w:bidi="zh-CN"/>
      </w:rPr>
    </w:lvl>
    <w:lvl w:ilvl="6" w:tentative="0">
      <w:start w:val="0"/>
      <w:numFmt w:val="bullet"/>
      <w:lvlText w:val="•"/>
      <w:lvlJc w:val="left"/>
      <w:pPr>
        <w:ind w:left="6176" w:hanging="601"/>
      </w:pPr>
      <w:rPr>
        <w:rFonts w:hint="default"/>
        <w:lang w:val="zh-CN" w:eastAsia="zh-CN" w:bidi="zh-CN"/>
      </w:rPr>
    </w:lvl>
    <w:lvl w:ilvl="7" w:tentative="0">
      <w:start w:val="0"/>
      <w:numFmt w:val="bullet"/>
      <w:lvlText w:val="•"/>
      <w:lvlJc w:val="left"/>
      <w:pPr>
        <w:ind w:left="7008" w:hanging="601"/>
      </w:pPr>
      <w:rPr>
        <w:rFonts w:hint="default"/>
        <w:lang w:val="zh-CN" w:eastAsia="zh-CN" w:bidi="zh-CN"/>
      </w:rPr>
    </w:lvl>
    <w:lvl w:ilvl="8" w:tentative="0">
      <w:start w:val="0"/>
      <w:numFmt w:val="bullet"/>
      <w:lvlText w:val="•"/>
      <w:lvlJc w:val="left"/>
      <w:pPr>
        <w:ind w:left="7841" w:hanging="601"/>
      </w:pPr>
      <w:rPr>
        <w:rFonts w:hint="default"/>
        <w:lang w:val="zh-CN" w:eastAsia="zh-CN" w:bidi="zh-CN"/>
      </w:rPr>
    </w:lvl>
  </w:abstractNum>
  <w:abstractNum w:abstractNumId="4">
    <w:nsid w:val="35E83B33"/>
    <w:multiLevelType w:val="multilevel"/>
    <w:tmpl w:val="35E83B33"/>
    <w:lvl w:ilvl="0" w:tentative="0">
      <w:start w:val="1"/>
      <w:numFmt w:val="decimal"/>
      <w:lvlText w:val="%1）"/>
      <w:lvlJc w:val="left"/>
      <w:pPr>
        <w:ind w:left="1075"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48" w:hanging="361"/>
      </w:pPr>
      <w:rPr>
        <w:rFonts w:hint="default"/>
        <w:lang w:val="zh-CN" w:eastAsia="zh-CN" w:bidi="zh-CN"/>
      </w:rPr>
    </w:lvl>
    <w:lvl w:ilvl="2" w:tentative="0">
      <w:start w:val="0"/>
      <w:numFmt w:val="bullet"/>
      <w:lvlText w:val="•"/>
      <w:lvlJc w:val="left"/>
      <w:pPr>
        <w:ind w:left="2816" w:hanging="361"/>
      </w:pPr>
      <w:rPr>
        <w:rFonts w:hint="default"/>
        <w:lang w:val="zh-CN" w:eastAsia="zh-CN" w:bidi="zh-CN"/>
      </w:rPr>
    </w:lvl>
    <w:lvl w:ilvl="3" w:tentative="0">
      <w:start w:val="0"/>
      <w:numFmt w:val="bullet"/>
      <w:lvlText w:val="•"/>
      <w:lvlJc w:val="left"/>
      <w:pPr>
        <w:ind w:left="3685" w:hanging="361"/>
      </w:pPr>
      <w:rPr>
        <w:rFonts w:hint="default"/>
        <w:lang w:val="zh-CN" w:eastAsia="zh-CN" w:bidi="zh-CN"/>
      </w:rPr>
    </w:lvl>
    <w:lvl w:ilvl="4" w:tentative="0">
      <w:start w:val="0"/>
      <w:numFmt w:val="bullet"/>
      <w:lvlText w:val="•"/>
      <w:lvlJc w:val="left"/>
      <w:pPr>
        <w:ind w:left="4553" w:hanging="361"/>
      </w:pPr>
      <w:rPr>
        <w:rFonts w:hint="default"/>
        <w:lang w:val="zh-CN" w:eastAsia="zh-CN" w:bidi="zh-CN"/>
      </w:rPr>
    </w:lvl>
    <w:lvl w:ilvl="5" w:tentative="0">
      <w:start w:val="0"/>
      <w:numFmt w:val="bullet"/>
      <w:lvlText w:val="•"/>
      <w:lvlJc w:val="left"/>
      <w:pPr>
        <w:ind w:left="5422" w:hanging="361"/>
      </w:pPr>
      <w:rPr>
        <w:rFonts w:hint="default"/>
        <w:lang w:val="zh-CN" w:eastAsia="zh-CN" w:bidi="zh-CN"/>
      </w:rPr>
    </w:lvl>
    <w:lvl w:ilvl="6" w:tentative="0">
      <w:start w:val="0"/>
      <w:numFmt w:val="bullet"/>
      <w:lvlText w:val="•"/>
      <w:lvlJc w:val="left"/>
      <w:pPr>
        <w:ind w:left="6290" w:hanging="361"/>
      </w:pPr>
      <w:rPr>
        <w:rFonts w:hint="default"/>
        <w:lang w:val="zh-CN" w:eastAsia="zh-CN" w:bidi="zh-CN"/>
      </w:rPr>
    </w:lvl>
    <w:lvl w:ilvl="7" w:tentative="0">
      <w:start w:val="0"/>
      <w:numFmt w:val="bullet"/>
      <w:lvlText w:val="•"/>
      <w:lvlJc w:val="left"/>
      <w:pPr>
        <w:ind w:left="7159" w:hanging="361"/>
      </w:pPr>
      <w:rPr>
        <w:rFonts w:hint="default"/>
        <w:lang w:val="zh-CN" w:eastAsia="zh-CN" w:bidi="zh-CN"/>
      </w:rPr>
    </w:lvl>
    <w:lvl w:ilvl="8" w:tentative="0">
      <w:start w:val="0"/>
      <w:numFmt w:val="bullet"/>
      <w:lvlText w:val="•"/>
      <w:lvlJc w:val="left"/>
      <w:pPr>
        <w:ind w:left="8027" w:hanging="361"/>
      </w:pPr>
      <w:rPr>
        <w:rFonts w:hint="default"/>
        <w:lang w:val="zh-CN" w:eastAsia="zh-CN" w:bidi="zh-CN"/>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TZjZjBmNjFjY2IyYzllNjU0ZjBjNzNlNGE2NzRlNmMifQ=="/>
  </w:docVars>
  <w:rsids>
    <w:rsidRoot w:val="00000000"/>
    <w:rsid w:val="028D64EE"/>
    <w:rsid w:val="05B243F6"/>
    <w:rsid w:val="05F95B20"/>
    <w:rsid w:val="0B351375"/>
    <w:rsid w:val="0E550482"/>
    <w:rsid w:val="0F60313D"/>
    <w:rsid w:val="10E02E3E"/>
    <w:rsid w:val="11987D2E"/>
    <w:rsid w:val="12F95C09"/>
    <w:rsid w:val="15814DE3"/>
    <w:rsid w:val="15F22D86"/>
    <w:rsid w:val="160A5837"/>
    <w:rsid w:val="198558C4"/>
    <w:rsid w:val="1B8F086C"/>
    <w:rsid w:val="1C1C6104"/>
    <w:rsid w:val="1C725C10"/>
    <w:rsid w:val="1E6210B5"/>
    <w:rsid w:val="1F53244B"/>
    <w:rsid w:val="21281B74"/>
    <w:rsid w:val="232F501F"/>
    <w:rsid w:val="236476CD"/>
    <w:rsid w:val="23B92D9A"/>
    <w:rsid w:val="24F04DCE"/>
    <w:rsid w:val="25876769"/>
    <w:rsid w:val="268F5CDF"/>
    <w:rsid w:val="26FB7D5A"/>
    <w:rsid w:val="2B266739"/>
    <w:rsid w:val="2B554B9A"/>
    <w:rsid w:val="2B5F325C"/>
    <w:rsid w:val="2C2A763F"/>
    <w:rsid w:val="2E3246BD"/>
    <w:rsid w:val="2F581126"/>
    <w:rsid w:val="3156103F"/>
    <w:rsid w:val="34902500"/>
    <w:rsid w:val="39145622"/>
    <w:rsid w:val="3D6C1882"/>
    <w:rsid w:val="3FB765A4"/>
    <w:rsid w:val="41EA0591"/>
    <w:rsid w:val="483B0EAD"/>
    <w:rsid w:val="497336DA"/>
    <w:rsid w:val="4AFB0FA3"/>
    <w:rsid w:val="50B55F18"/>
    <w:rsid w:val="52A07C11"/>
    <w:rsid w:val="55EF04E9"/>
    <w:rsid w:val="587F24DD"/>
    <w:rsid w:val="58E14253"/>
    <w:rsid w:val="5BAC6352"/>
    <w:rsid w:val="5FAD7E66"/>
    <w:rsid w:val="65B337A3"/>
    <w:rsid w:val="67B22C44"/>
    <w:rsid w:val="683B4A60"/>
    <w:rsid w:val="6DE12548"/>
    <w:rsid w:val="6EA608AD"/>
    <w:rsid w:val="6FBD5305"/>
    <w:rsid w:val="73DC1CA1"/>
    <w:rsid w:val="776C2F5C"/>
    <w:rsid w:val="7F1B44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2"/>
      <w:ind w:left="798"/>
      <w:outlineLvl w:val="1"/>
    </w:pPr>
    <w:rPr>
      <w:rFonts w:ascii="宋体" w:hAnsi="宋体" w:eastAsia="宋体" w:cs="宋体"/>
      <w:b/>
      <w:bCs/>
      <w:sz w:val="28"/>
      <w:szCs w:val="28"/>
      <w:lang w:val="zh-CN" w:eastAsia="zh-CN" w:bidi="zh-CN"/>
    </w:rPr>
  </w:style>
  <w:style w:type="paragraph" w:styleId="3">
    <w:name w:val="heading 2"/>
    <w:basedOn w:val="1"/>
    <w:next w:val="1"/>
    <w:qFormat/>
    <w:uiPriority w:val="1"/>
    <w:pPr>
      <w:ind w:left="777"/>
      <w:outlineLvl w:val="2"/>
    </w:pPr>
    <w:rPr>
      <w:rFonts w:ascii="宋体" w:hAnsi="宋体" w:eastAsia="宋体" w:cs="宋体"/>
      <w:b/>
      <w:bCs/>
      <w:sz w:val="24"/>
      <w:szCs w:val="24"/>
      <w:lang w:val="zh-CN" w:eastAsia="zh-CN" w:bidi="zh-CN"/>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123"/>
      <w:ind w:right="1"/>
      <w:jc w:val="center"/>
    </w:pPr>
    <w:rPr>
      <w:rFonts w:ascii="宋体" w:hAnsi="宋体" w:eastAsia="宋体" w:cs="宋体"/>
      <w:b/>
      <w:bCs/>
      <w:sz w:val="24"/>
      <w:szCs w:val="24"/>
      <w:lang w:val="zh-CN" w:eastAsia="zh-CN" w:bidi="zh-CN"/>
    </w:rPr>
  </w:style>
  <w:style w:type="paragraph" w:styleId="9">
    <w:name w:val="toc 2"/>
    <w:basedOn w:val="1"/>
    <w:next w:val="1"/>
    <w:qFormat/>
    <w:uiPriority w:val="1"/>
    <w:pPr>
      <w:spacing w:before="279"/>
      <w:ind w:left="798"/>
    </w:pPr>
    <w:rPr>
      <w:rFonts w:ascii="宋体" w:hAnsi="宋体" w:eastAsia="宋体" w:cs="宋体"/>
      <w:b/>
      <w:bCs/>
      <w:sz w:val="24"/>
      <w:szCs w:val="24"/>
      <w:lang w:val="zh-CN" w:eastAsia="zh-CN" w:bidi="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234" w:hanging="602"/>
    </w:pPr>
    <w:rPr>
      <w:rFonts w:ascii="宋体" w:hAnsi="宋体" w:eastAsia="宋体" w:cs="宋体"/>
      <w:lang w:val="zh-CN" w:eastAsia="zh-CN" w:bidi="zh-CN"/>
    </w:rPr>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9"/>
    <customShpInfo spid="_x0000_s2054"/>
    <customShpInfo spid="_x0000_s2055"/>
    <customShpInfo spid="_x0000_s2056"/>
    <customShpInfo spid="_x0000_s1034"/>
    <customShpInfo spid="_x0000_s1035"/>
    <customShpInfo spid="_x0000_s1036"/>
    <customShpInfo spid="_x0000_s1037"/>
    <customShpInfo spid="_x0000_s1033"/>
    <customShpInfo spid="_x0000_s1057"/>
    <customShpInfo spid="_x0000_s1058"/>
    <customShpInfo spid="_x0000_s1059"/>
    <customShpInfo spid="_x0000_s1060"/>
    <customShpInfo spid="_x0000_s1056"/>
    <customShpInfo spid="_x0000_s1159"/>
    <customShpInfo spid="_x0000_s1160"/>
    <customShpInfo spid="_x0000_s1161"/>
    <customShpInfo spid="_x0000_s1162"/>
    <customShpInfo spid="_x0000_s1158"/>
    <customShpInfo spid="_x0000_s1062"/>
    <customShpInfo spid="_x0000_s1063"/>
    <customShpInfo spid="_x0000_s1064"/>
    <customShpInfo spid="_x0000_s1065"/>
    <customShpInfo spid="_x0000_s1061"/>
    <customShpInfo spid="_x0000_s1067"/>
    <customShpInfo spid="_x0000_s1068"/>
    <customShpInfo spid="_x0000_s1069"/>
    <customShpInfo spid="_x0000_s1070"/>
    <customShpInfo spid="_x0000_s1066"/>
    <customShpInfo spid="_x0000_s1075"/>
    <customShpInfo spid="_x0000_s1076"/>
    <customShpInfo spid="_x0000_s1077"/>
    <customShpInfo spid="_x0000_s1078"/>
    <customShpInfo spid="_x0000_s1074"/>
    <customShpInfo spid="_x0000_s1080"/>
    <customShpInfo spid="_x0000_s1081"/>
    <customShpInfo spid="_x0000_s1082"/>
    <customShpInfo spid="_x0000_s1083"/>
    <customShpInfo spid="_x0000_s1079"/>
    <customShpInfo spid="_x0000_s1105"/>
    <customShpInfo spid="_x0000_s1106"/>
    <customShpInfo spid="_x0000_s1107"/>
    <customShpInfo spid="_x0000_s1108"/>
    <customShpInfo spid="_x0000_s1104"/>
    <customShpInfo spid="_x0000_s1110"/>
    <customShpInfo spid="_x0000_s1111"/>
    <customShpInfo spid="_x0000_s1112"/>
    <customShpInfo spid="_x0000_s1113"/>
    <customShpInfo spid="_x0000_s1109"/>
    <customShpInfo spid="_x0000_s1115"/>
    <customShpInfo spid="_x0000_s1116"/>
    <customShpInfo spid="_x0000_s1117"/>
    <customShpInfo spid="_x0000_s1118"/>
    <customShpInfo spid="_x0000_s1114"/>
    <customShpInfo spid="_x0000_s1129"/>
    <customShpInfo spid="_x0000_s1130"/>
    <customShpInfo spid="_x0000_s1131"/>
    <customShpInfo spid="_x0000_s1132"/>
    <customShpInfo spid="_x0000_s1128"/>
    <customShpInfo spid="_x0000_s1172"/>
    <customShpInfo spid="_x0000_s1173"/>
    <customShpInfo spid="_x0000_s1174"/>
    <customShpInfo spid="_x0000_s1175"/>
    <customShpInfo spid="_x0000_s1171"/>
    <customShpInfo spid="_x0000_s1177"/>
    <customShpInfo spid="_x0000_s1178"/>
    <customShpInfo spid="_x0000_s1179"/>
    <customShpInfo spid="_x0000_s1180"/>
    <customShpInfo spid="_x0000_s1176"/>
    <customShpInfo spid="_x0000_s1182"/>
    <customShpInfo spid="_x0000_s1183"/>
    <customShpInfo spid="_x0000_s1184"/>
    <customShpInfo spid="_x0000_s1185"/>
    <customShpInfo spid="_x0000_s1181"/>
    <customShpInfo spid="_x0000_s1187"/>
    <customShpInfo spid="_x0000_s1188"/>
    <customShpInfo spid="_x0000_s1186"/>
    <customShpInfo spid="_x0000_s1190"/>
    <customShpInfo spid="_x0000_s1191"/>
    <customShpInfo spid="_x0000_s11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13833</Words>
  <Characters>15741</Characters>
  <TotalTime>1</TotalTime>
  <ScaleCrop>false</ScaleCrop>
  <LinksUpToDate>false</LinksUpToDate>
  <CharactersWithSpaces>16491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2022-01-11T08:12:00Z</dcterms:created>
  <dc:creator>lenovo</dc:creator>
  <cp:lastModifiedBy>王杰</cp:lastModifiedBy>
  <dcterms:modified xsi:type="dcterms:W3CDTF">2022-05-23T08:55:48Z</dcterms:modified>
  <dc:title>&lt;C1FAC1EACFD8CBB3BFB5B9E8D2B1C1B6D3D0CFDED4F0C8CEB9ABCBBED1CCC6F8CDD1C1F2CFEEC4BFBFA2B9A4BBB7BEB3B1A3BBA4D1E9CAD5BCE0B2E2B1A8B8E6B1ED202E646F63&gt;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2022-01-07T00:00:00Z</vt:filetime>
  </property>
  <property fmtid="{D5CDD505-2E9C-101B-9397-08002B2CF9AE}" pid="3" name="Creator">
    <vt:lpwstr>PScript5.dll Version 5.2.2</vt:lpwstr>
  </property>
  <property fmtid="{D5CDD505-2E9C-101B-9397-08002B2CF9AE}" pid="4" name="LastSaved">
    <vt:filetime>2022-01-11T00:00:00Z</vt:filetime>
  </property>
  <property fmtid="{D5CDD505-2E9C-101B-9397-08002B2CF9AE}" pid="5" name="KSOProductBuildVer">
    <vt:lpwstr>2052-11.1.0.11744</vt:lpwstr>
  </property>
  <property fmtid="{D5CDD505-2E9C-101B-9397-08002B2CF9AE}" pid="6" name="ICV">
    <vt:lpwstr>7922AC43B9A14B9AA406961EED50B4E4</vt:lpwstr>
  </property>
</Properties>
</file>